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Maksājumu pakalpojumu un elektroniskās naudas likumā"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Maksājumu pakalpojumu un elektroniskās naudas likumā” (turpmāk - Likumprojekts) izstrādāts, lai pārņemtu Eiropas Parlamenta un Padomes 2022. gada 14. decembra direktīvu (ES) 2022/2556 ar ko groza Direktīvas 2009/65/EK, 2009/138/EK, 2011/61/ES, 2013/36/ES, 2014/59/ES, 2014/65/ES, (ES) 2015/2366 un (ES) 2016/2341 attiecībā uz finanšu nozares digitālās darbības noturību (turpmāk – Direktīva Nr. 2022/2556).</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samazinātu digitālo tehnoloģiju izmantošanas riskus, likumprojekts paredz noteikt, ka maksājumu pakalpojumu un elektroniskās naudas iestādēm ir pienākums izveidot un pārvaldīt tīklu un informācijas sistēmu atbilstoši Eiropas Parlamenta un Padomes 2022. gada 14. decembra Regulai (ES) 2022/2554 par finanšu nozares digitālās darbības noturību un ar ko groza Regulas (EK) Nr. 1060/2009, (ES) Nr. 648/2012, (ES) Nr. 600/2014, (ES) Nr. 909/2014 un (ES) 2016/1011 (turpmāk – Regula Nr. 2022/2554).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Nākamā diena pēc izsludināšanas (likumprojektam)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stāšanās noteikta, jo saskaņā ar Direktīvas Nr. 2022/2556 9. pantu, minētās direktīvas prasības piemēro no 2025. gada 17. janvāra.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Nr. 2022/2556 7. panta pārņemšana ir sistēmiski saistīta ar Regulas Nr. 2022/2554 tiešas piemērošanas nodrošināšanu.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 Nr. 2022/2554 paredz digitālās darbības noturības prasību piemērošanu finanšu tirgus dalībniekiem un Direktīva Nr. 2022/2556 ir minētās regulas pakārtotais normatīvais akts. Regulas Nr. 2022/2554 prasību ieviešanu nodrošina likumprojekts “Finanšu tirgus digitālās darbības noturības un mākslīgā intelekta izmantošanas likums” (24-TA-2371), savukārt, lai pārņemtu Direktīvas Nr. 2022/2556 7. pantu, ir jāveic precizējumi Maksājumu pakalpojumu un elektroniskās naudas likumā.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Nr. 2022/2554 7. panta 1. punkts nav jāpārņem, jo tas jau atbilst Maksājumu pakalpojumu un elektroniskās naudas likuma 3. panta pirmās daļas 9. 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 pants paredz izteikt Maksājumu pakalpojumu un elektroniskās naudas likuma 11. panta pirmās daļas 18. punktu jaunā redakcijā, paredzot, ka licences saņemšanai jāpievieno digitālās darbības noturības stratēģija un informācijas drošības politiku saskaņā ar Regulas Nr. 2022/2554 6. panta 8. punktu un 9. panta 4. punkta "a" apakšpunktu, tādejādi pārņemot Direktīvas Nr. 2022/2556 7. panta 2. punkta "a" apakšpunktu. Tiek precizēta atsauce Maksājumu pakalpojumu un elektroniskās naudas likuma 11. panta pirmās daļas 14. punktā, nosakot, ka turpmāk ziņošana par incidentiem notiek atbilstoši Regulas Nr. 2022/2554 prasībām. Tāpat tiek precizēta terminoloģija Maksājumu pakalpojumu un elektroniskās naudas likuma 11. panta pirmās daļas 16. punktā un iestrādāta atsauce uz Regulu Nr. 2022/2554. Minētie grozījumi pārņem Direktīvas Nr. 2022/2556 7. panta 2. punkta ''a"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Nr. 2022/2556 7. panta 2. punkta "b" apakšpunkts pēc tā būtības tiks pārņemts </w:t>
      </w:r>
      <w:r w:rsidR="00000000" w:rsidRPr="00000000" w:rsidDel="00000000">
        <w:rPr>
          <w:rtl w:val="0"/>
        </w:rPr>
        <w:t xml:space="preserve">Latvijas Bankas 2024. gada 29. janvāra noteikumos Nr. 270 "Maksājumu iestāžu un elektroniskās naudas iestāžu licencēšanas, reģistrētas darbības atļaujas izsniegšanas un informācijas sniegšanas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 un 4. pants paredz to, ka piemērotā soda nauda ir ieskaitāma valsts pamatbudžetā, tādejādi novēršot interpretācijas iespējas par budžetu, kas saņem piemēroto soda naudu.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 pants precizē terminoloģiju Maksājumu pakalpojumu un elektroniskās naudas likuma 29. panta pirmajā daļā, pārņemot Direktīvas Nr. 2022/2556 7. panta 3. punktu, proti, "informācijas tehnoloģijas" tiek aizstāts ar "informācijas un komunikācijas tehnoloģijas" atbilstoši Regulai Nr. 2022/2554.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5. pants paredz tehnisku precizējumu Maksājumu pakalpojumu un elektroniskās naudas likuma 56.</w:t>
      </w:r>
      <w:r w:rsidR="00000000" w:rsidRPr="00000000" w:rsidDel="00000000">
        <w:rPr>
          <w:vertAlign w:val="superscript"/>
          <w:rtl w:val="0"/>
        </w:rPr>
        <w:t xml:space="preserve">3</w:t>
      </w:r>
      <w:r w:rsidR="00000000" w:rsidRPr="00000000" w:rsidDel="00000000">
        <w:rPr>
          <w:rtl w:val="0"/>
        </w:rPr>
        <w:t xml:space="preserve"> panta pirmās daļas 2. punktā, nodrošinot Regulas Nr. 2022/2554 saīsinātā nosaukuma lietojumu.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6. pants paredz papildināt Maksājumu pakalpojumu un elektroniskās naudas likuma 104.</w:t>
      </w:r>
      <w:r w:rsidR="00000000" w:rsidRPr="00000000" w:rsidDel="00000000">
        <w:rPr>
          <w:vertAlign w:val="superscript"/>
          <w:rtl w:val="0"/>
        </w:rPr>
        <w:t xml:space="preserve">1</w:t>
      </w:r>
      <w:r w:rsidR="00000000" w:rsidRPr="00000000" w:rsidDel="00000000">
        <w:rPr>
          <w:rtl w:val="0"/>
        </w:rPr>
        <w:t xml:space="preserve"> panta pirmo daļu ar atsauci uz Regulu Nr. 2022/2554 un Finanšu tirgus digitālās darbības noturības un mākslīgā intelekta izmantošanas likumu, izteikt minētā panta trešo daļu jaunā redakcijā, kā arī tiek izslēgta minētā panta ceturtā un piektā daļa, tādejādi pārņemto Direktīvas Nr. 2022/2556 7. panta 4. punktu. Maksājumu pakalpojumu un elektroniskās naudas likuma 104.</w:t>
      </w:r>
      <w:r w:rsidR="00000000" w:rsidRPr="00000000" w:rsidDel="00000000">
        <w:rPr>
          <w:vertAlign w:val="superscript"/>
          <w:rtl w:val="0"/>
        </w:rPr>
        <w:t xml:space="preserve">1</w:t>
      </w:r>
      <w:r w:rsidR="00000000" w:rsidRPr="00000000" w:rsidDel="00000000">
        <w:rPr>
          <w:rtl w:val="0"/>
        </w:rPr>
        <w:t xml:space="preserve"> panta ceturtā un piektā daļa noteic maksājumu pakalpojumu sniedzēja pienākumu Latvijas Bankai iesniegt novērtējumu par operacionālajiem un drošības riskiem un adekvātu riska mazināšanas pasākumu un kontroles mehānismu ieviešanu, kā arī deleģējumu Latvijas Bankai detalizētāk noteikt kārtību šādai ziņošanai. Pēc būtības šī funkcija turpmāk tiek noteikta Regulā Nr. 2022/2554, konkrēti tās 19. pantā, tādēļ šo normu nav nepieciešamība saglabāt Maksājumu pakalpojumu un elektroniskās naudas likumā. Savukārt uz Regulas 2022/2554 19. un 20. panta pamata Eiropas Uzraudzības iestādes izdos regulatīvo tehnisko standartu. Minētais skaidrojums attiecas arī uz Maksājumu pakalpojumu un elektroniskās naudas likuma 104.</w:t>
      </w:r>
      <w:r w:rsidR="00000000" w:rsidRPr="00000000" w:rsidDel="00000000">
        <w:rPr>
          <w:vertAlign w:val="superscript"/>
          <w:rtl w:val="0"/>
        </w:rPr>
        <w:t xml:space="preserve">2</w:t>
      </w:r>
      <w:r w:rsidR="00000000" w:rsidRPr="00000000" w:rsidDel="00000000">
        <w:rPr>
          <w:rtl w:val="0"/>
        </w:rPr>
        <w:t xml:space="preserve"> panta trešās un ceturtās daļas izslēgšanu.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7. pants paredz izslēgt Maksājumu pakalpojumu un elektroniskās naudas likuma 104.</w:t>
      </w:r>
      <w:r w:rsidR="00000000" w:rsidRPr="00000000" w:rsidDel="00000000">
        <w:rPr>
          <w:vertAlign w:val="superscript"/>
          <w:rtl w:val="0"/>
        </w:rPr>
        <w:t xml:space="preserve">2</w:t>
      </w:r>
      <w:r w:rsidR="00000000" w:rsidRPr="00000000" w:rsidDel="00000000">
        <w:rPr>
          <w:rtl w:val="0"/>
        </w:rPr>
        <w:t xml:space="preserve"> panta trešo un ceturto daļu, kā arī papildina minēto pantu ar piekto daļu, kura paredz neattiecināt panta prasības uz atsevišķiem maksājumu pakalpojumu sniedzējiem. Minētie grozījumi pārņem Direktīvas Nr. 2022/2556 7. panta 5.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8. pants paredz tehnisku precizējumu pārejas noteikumu 48. punktā, nodrošinot Regulas Nr. 2022/2554 saīsinātā nosaukuma lietojumu.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papildina arī informatīvo atsauci uz Eiropas Savienības direktīvām ar atsauci uz Direktīvu Nr. 2022/2556.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Maksājumu iestādes, elektroniskās naudas iestādes un konta informācijas pakalpojuma sniedzējs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 Nr. 2022/2554 aizstāj esošās infromācijas tehnoloģiju prasības maksājumu iestādēm, elektroniskās naudas iestādēm un konta informācijas pakalpojuma sniedzējiem, proti, minētā regula harmonizē un konsolidē prasības attiecībā uz digitālās darbības noturību finanšu tirgus dalībniekiem, lai nodrošinātu konsekventu pieeju minēto prasību piemērošanā visā 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ir saistīts ar likumprojektu “Finanšu tirgus digitālās darbības noturības un mākslīgā intelekta izmantošanas likums” (24-TA-2371), likumprojektu "Grozījumi Ieguldījumu pārvaldes sabiedrību likumā" (24-TA-2433), likumprojektu "Grozījumi Apdrošināšanas un pārapdrošināšanas likumā" (24-TA-2434), likumprojektu "Grozījumi Alternatīvo ieguldījumu fondu un to pārvaldnieku likumā" (24-TA-2435), likumprojektu "Grozījumi Kredītiestāžu likumā" (24-TA-2436), likumprojektu "Grozījumi Kredītiestāžu un ieguldījumu brokeru sabiedrību darbības atjaunošanas un noregulējuma likumā" (24-TA-2440), likumprojektu "Grozījumi Ieguldījumu brokeru sabiedrību likumā" (24-TA-2441), likumprojektu "Grozījumi Finanšu instrumentu tirgus likumā" (24-TA-2442) un likumprojektu "Grozījumi Privāto pensiju fondu likumā" (24-TA-2444).</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32022L2556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2022. gada 14. decembra direktīva (ES) 2022/2556 ar ko groza Direktīvas 2009/65/EK, 2009/138/EK, 2011/61/ES, 2013/36/ES, 2014/59/ES, 2014/65/ES, (ES) 2015/2366 un (ES) 2016/2341 attiecībā uz finanšu nozares digitālās darbības noturību.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nodrošina Direktīvas Nr. 2022/2556 pārņemšanu.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2022. gada 14. decembra direktīva (ES) 2022/2556 ar ko groza Direktīvas 2009/65/EK, 2009/138/EK, 2011/61/ES, 2013/36/ES, 2014/59/ES, 2014/65/ES, (ES) 2015/2366 un (ES) 2016/2341 attiecībā uz finanšu nozares digitālās darbības noturību.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2022/2556 1.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Ieguldījumu pārvaldes sabiedrību likuma 13. panta pirmās daļas 4.</w:t>
            </w:r>
            <w:r w:rsidR="00000000" w:rsidRPr="00000000" w:rsidDel="00000000">
              <w:rPr>
                <w:sz w:val="24"/>
                <w:vertAlign w:val="superscript"/>
                <w:rtl w:val="0"/>
              </w:rPr>
              <w:t xml:space="preserve">1</w:t>
            </w:r>
            <w:r w:rsidR="00000000" w:rsidRPr="00000000" w:rsidDel="00000000">
              <w:rPr>
                <w:sz w:val="24"/>
                <w:rtl w:val="0"/>
              </w:rPr>
              <w:t xml:space="preserve">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2022/2556 2.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Apdrošināšanas un pārapdrošināšanas likuma 54. panta 1.</w:t>
            </w:r>
            <w:r w:rsidR="00000000" w:rsidRPr="00000000" w:rsidDel="00000000">
              <w:rPr>
                <w:sz w:val="24"/>
                <w:vertAlign w:val="superscript"/>
                <w:rtl w:val="0"/>
              </w:rPr>
              <w:t xml:space="preserve">1</w:t>
            </w:r>
            <w:r w:rsidR="00000000" w:rsidRPr="00000000" w:rsidDel="00000000">
              <w:rPr>
                <w:sz w:val="24"/>
                <w:rtl w:val="0"/>
              </w:rPr>
              <w:t xml:space="preserve">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2022/2556 3.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Alternatīvo ieguldījumu fondu un to pārvaldnieku likuma 22. panta otrās daļas 2.</w:t>
            </w:r>
            <w:r w:rsidR="00000000" w:rsidRPr="00000000" w:rsidDel="00000000">
              <w:rPr>
                <w:sz w:val="24"/>
                <w:vertAlign w:val="superscript"/>
                <w:rtl w:val="0"/>
              </w:rPr>
              <w:t xml:space="preserve">1</w:t>
            </w:r>
            <w:r w:rsidR="00000000" w:rsidRPr="00000000" w:rsidDel="00000000">
              <w:rPr>
                <w:sz w:val="24"/>
                <w:rtl w:val="0"/>
              </w:rPr>
              <w:t xml:space="preserve">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2022/2556 4.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Kredītiestāžu likuma 10.</w:t>
            </w:r>
            <w:r w:rsidR="00000000" w:rsidRPr="00000000" w:rsidDel="00000000">
              <w:rPr>
                <w:sz w:val="24"/>
                <w:vertAlign w:val="superscript"/>
                <w:rtl w:val="0"/>
              </w:rPr>
              <w:t xml:space="preserve">1</w:t>
            </w:r>
            <w:r w:rsidR="00000000" w:rsidRPr="00000000" w:rsidDel="00000000">
              <w:rPr>
                <w:sz w:val="24"/>
                <w:rtl w:val="0"/>
              </w:rPr>
              <w:t xml:space="preserve"> panta astotā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2022/2556 4.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Kredītiestāžu likuma 34.</w:t>
            </w:r>
            <w:r w:rsidR="00000000" w:rsidRPr="00000000" w:rsidDel="00000000">
              <w:rPr>
                <w:sz w:val="24"/>
                <w:vertAlign w:val="superscript"/>
                <w:rtl w:val="0"/>
              </w:rPr>
              <w:t xml:space="preserve">1</w:t>
            </w:r>
            <w:r w:rsidR="00000000" w:rsidRPr="00000000" w:rsidDel="00000000">
              <w:rPr>
                <w:sz w:val="24"/>
                <w:rtl w:val="0"/>
              </w:rPr>
              <w:t xml:space="preserve"> panta 1.</w:t>
            </w:r>
            <w:r w:rsidR="00000000" w:rsidRPr="00000000" w:rsidDel="00000000">
              <w:rPr>
                <w:sz w:val="24"/>
                <w:vertAlign w:val="superscript"/>
                <w:rtl w:val="0"/>
              </w:rPr>
              <w:t xml:space="preserve">1</w:t>
            </w:r>
            <w:r w:rsidR="00000000" w:rsidRPr="00000000" w:rsidDel="00000000">
              <w:rPr>
                <w:sz w:val="24"/>
                <w:rtl w:val="0"/>
              </w:rPr>
              <w:t xml:space="preserve">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2022/2556 4.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Kredītiestāžu likuma 34.</w:t>
            </w:r>
            <w:r w:rsidR="00000000" w:rsidRPr="00000000" w:rsidDel="00000000">
              <w:rPr>
                <w:sz w:val="24"/>
                <w:vertAlign w:val="superscript"/>
                <w:rtl w:val="0"/>
              </w:rPr>
              <w:t xml:space="preserve">2</w:t>
            </w:r>
            <w:r w:rsidR="00000000" w:rsidRPr="00000000" w:rsidDel="00000000">
              <w:rPr>
                <w:sz w:val="24"/>
                <w:rtl w:val="0"/>
              </w:rPr>
              <w:t xml:space="preserve"> panta ceturtā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2022/2556 4. 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Kredītiestāžu likuma 101.</w:t>
            </w:r>
            <w:r w:rsidR="00000000" w:rsidRPr="00000000" w:rsidDel="00000000">
              <w:rPr>
                <w:sz w:val="24"/>
                <w:vertAlign w:val="superscript"/>
                <w:rtl w:val="0"/>
              </w:rPr>
              <w:t xml:space="preserve">3</w:t>
            </w:r>
            <w:r w:rsidR="00000000" w:rsidRPr="00000000" w:rsidDel="00000000">
              <w:rPr>
                <w:sz w:val="24"/>
                <w:rtl w:val="0"/>
              </w:rPr>
              <w:t xml:space="preserve"> panta pirmās daļas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2022/2556 5. panta 1. 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Kredītiestāžu un ieguldījumu brokeru sabiedrību darbības atjaunošanas un noregulējuma likuma 11. panta sestās daļas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2022/2556 5. panta 1. punkta "b"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Kredītiestāžu un ieguldījumu brokeru sabiedrību darbības atjaunošanas un noregulējuma likuma 11. panta sestās daļas 17.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2022/2556 5. panta 2. punkta "a", "b", "c"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Kredītiestāžu un ieguldījumu brokeru sabiedrību darbības atjaunošanas un noregulējuma likuma 5. panta sestā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2022/2556 6. panta 1. 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Ieguldījumu brokeru sabiedrību likuma 31. panta pirmās daļas 15.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2022/2556 6. panta 1. punkta "b"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Ieguldījumu brokeru sabiedrību likuma 31. panta pirmās daļas 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2022/2556 6. panta 2. 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Finanšu instrumentu tirgus likuma 132.</w:t>
            </w:r>
            <w:r w:rsidR="00000000" w:rsidRPr="00000000" w:rsidDel="00000000">
              <w:rPr>
                <w:sz w:val="24"/>
                <w:vertAlign w:val="superscript"/>
                <w:rtl w:val="0"/>
              </w:rPr>
              <w:t xml:space="preserve">1</w:t>
            </w:r>
            <w:r w:rsidR="00000000" w:rsidRPr="00000000" w:rsidDel="00000000">
              <w:rPr>
                <w:sz w:val="24"/>
                <w:rtl w:val="0"/>
              </w:rPr>
              <w:t xml:space="preserve"> panta 1.</w:t>
            </w:r>
            <w:r w:rsidR="00000000" w:rsidRPr="00000000" w:rsidDel="00000000">
              <w:rPr>
                <w:sz w:val="24"/>
                <w:vertAlign w:val="superscript"/>
                <w:rtl w:val="0"/>
              </w:rPr>
              <w:t xml:space="preserve">1</w:t>
            </w:r>
            <w:r w:rsidR="00000000" w:rsidRPr="00000000" w:rsidDel="00000000">
              <w:rPr>
                <w:sz w:val="24"/>
                <w:rtl w:val="0"/>
              </w:rPr>
              <w:t xml:space="preserve">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2022/2556 6. panta 3. 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Finanšu instrumentu tirgus likuma 27. panta 2.</w:t>
            </w:r>
            <w:r w:rsidR="00000000" w:rsidRPr="00000000" w:rsidDel="00000000">
              <w:rPr>
                <w:sz w:val="24"/>
                <w:vertAlign w:val="superscript"/>
                <w:rtl w:val="0"/>
              </w:rPr>
              <w:t xml:space="preserve">1</w:t>
            </w:r>
            <w:r w:rsidR="00000000" w:rsidRPr="00000000" w:rsidDel="00000000">
              <w:rPr>
                <w:sz w:val="24"/>
                <w:rtl w:val="0"/>
              </w:rPr>
              <w:t xml:space="preserve"> daļas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2022/2556 6. panta 3. punkta "b"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Finanšu instrumentu tirgus likuma 27. panta 2.</w:t>
            </w:r>
            <w:r w:rsidR="00000000" w:rsidRPr="00000000" w:rsidDel="00000000">
              <w:rPr>
                <w:sz w:val="24"/>
                <w:vertAlign w:val="superscript"/>
                <w:rtl w:val="0"/>
              </w:rPr>
              <w:t xml:space="preserve">1</w:t>
            </w:r>
            <w:r w:rsidR="00000000" w:rsidRPr="00000000" w:rsidDel="00000000">
              <w:rPr>
                <w:sz w:val="24"/>
                <w:rtl w:val="0"/>
              </w:rPr>
              <w:t xml:space="preserve"> daļas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2022/2556 6. panta 4. 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Finanšu instrumentu tirgus likuma 35.</w:t>
            </w:r>
            <w:r w:rsidR="00000000" w:rsidRPr="00000000" w:rsidDel="00000000">
              <w:rPr>
                <w:sz w:val="24"/>
                <w:vertAlign w:val="superscript"/>
                <w:rtl w:val="0"/>
              </w:rPr>
              <w:t xml:space="preserve">1</w:t>
            </w:r>
            <w:r w:rsidR="00000000" w:rsidRPr="00000000" w:rsidDel="00000000">
              <w:rPr>
                <w:sz w:val="24"/>
                <w:rtl w:val="0"/>
              </w:rPr>
              <w:t xml:space="preserve"> panta 1.</w:t>
            </w:r>
            <w:r w:rsidR="00000000" w:rsidRPr="00000000" w:rsidDel="00000000">
              <w:rPr>
                <w:sz w:val="24"/>
                <w:vertAlign w:val="superscript"/>
                <w:rtl w:val="0"/>
              </w:rPr>
              <w:t xml:space="preserve">1</w:t>
            </w:r>
            <w:r w:rsidR="00000000" w:rsidRPr="00000000" w:rsidDel="00000000">
              <w:rPr>
                <w:sz w:val="24"/>
                <w:rtl w:val="0"/>
              </w:rPr>
              <w:t xml:space="preserve">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2022/2556 6. panta 4. punkta "b"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Finanšu instrumentu tirgus likuma 35.</w:t>
            </w:r>
            <w:r w:rsidR="00000000" w:rsidRPr="00000000" w:rsidDel="00000000">
              <w:rPr>
                <w:sz w:val="24"/>
                <w:vertAlign w:val="superscript"/>
                <w:rtl w:val="0"/>
              </w:rPr>
              <w:t xml:space="preserve">1</w:t>
            </w:r>
            <w:r w:rsidR="00000000" w:rsidRPr="00000000" w:rsidDel="00000000">
              <w:rPr>
                <w:sz w:val="24"/>
                <w:rtl w:val="0"/>
              </w:rPr>
              <w:t xml:space="preserve"> panta 9.</w:t>
            </w:r>
            <w:r w:rsidR="00000000" w:rsidRPr="00000000" w:rsidDel="00000000">
              <w:rPr>
                <w:sz w:val="24"/>
                <w:vertAlign w:val="superscript"/>
                <w:rtl w:val="0"/>
              </w:rPr>
              <w:t xml:space="preserve">1</w:t>
            </w:r>
            <w:r w:rsidR="00000000" w:rsidRPr="00000000" w:rsidDel="00000000">
              <w:rPr>
                <w:sz w:val="24"/>
                <w:rtl w:val="0"/>
              </w:rPr>
              <w:t xml:space="preserve">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2022/2556 7.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Maksājumu pakalpojumu un elektroniskās naudas likuma 3. panta pirmās daļas 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2022/2556 7. panta 2. punkta "a" apakšpunkta 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Maksājumu pakalpojumu un elektroniskās naudas likuma 11. panta pirmās daļas 18.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2022/2556 7. panta 2. punkta "a" apakšpunkta ii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Maksājumu pakalpojumu un elektroniskās naudas likuma 11. panta pirmās daļas 14.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2022/2556 7. panta 2. punkta "a" apakšpunkta iii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Maksājumu pakalpojumu un elektroniskās naudas likuma 11. panta pirmās daļas 16.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2022/2556 7. panta 2. punkta "b"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Maksājumu pakalpojumu un elektroniskās naudas likuma 11. panta ceturtā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2022/2556 7.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Maksājumu pakalpojumu un elektroniskās naudas likuma 29. panta pirmā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2022/2556 7. 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Maksājumu pakalpojumu un elektroniskās naudas likuma 104.</w:t>
            </w:r>
            <w:r w:rsidR="00000000" w:rsidRPr="00000000" w:rsidDel="00000000">
              <w:rPr>
                <w:sz w:val="24"/>
                <w:vertAlign w:val="superscript"/>
                <w:rtl w:val="0"/>
              </w:rPr>
              <w:t xml:space="preserve">1</w:t>
            </w:r>
            <w:r w:rsidR="00000000" w:rsidRPr="00000000" w:rsidDel="00000000">
              <w:rPr>
                <w:sz w:val="24"/>
                <w:rtl w:val="0"/>
              </w:rPr>
              <w:t xml:space="preserve"> panta otrā, trešā, ceturtā, piektā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2022/2556 7. panta 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Maksājumu pakalpojumu un elektroniskās naudas likuma 104.</w:t>
            </w:r>
            <w:r w:rsidR="00000000" w:rsidRPr="00000000" w:rsidDel="00000000">
              <w:rPr>
                <w:sz w:val="24"/>
                <w:vertAlign w:val="superscript"/>
                <w:rtl w:val="0"/>
              </w:rPr>
              <w:t xml:space="preserve">2 </w:t>
            </w:r>
            <w:r w:rsidR="00000000" w:rsidRPr="00000000" w:rsidDel="00000000">
              <w:rPr>
                <w:sz w:val="24"/>
                <w:rtl w:val="0"/>
              </w:rPr>
              <w:t xml:space="preserve">panta trešā, ceturtā, piektā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2022/2556 8.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Privāto pensiju fondu likuma 20. panta 3.</w:t>
            </w:r>
            <w:r w:rsidR="00000000" w:rsidRPr="00000000" w:rsidDel="00000000">
              <w:rPr>
                <w:sz w:val="24"/>
                <w:vertAlign w:val="superscript"/>
                <w:rtl w:val="0"/>
              </w:rPr>
              <w:t xml:space="preserve">1</w:t>
            </w:r>
            <w:r w:rsidR="00000000" w:rsidRPr="00000000" w:rsidDel="00000000">
              <w:rPr>
                <w:sz w:val="24"/>
                <w:rtl w:val="0"/>
              </w:rPr>
              <w:t xml:space="preserve">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https://tapportals.mk.gov.lv/public_participation/a56ec4b1-0f29-4264-9e9b-4633937c9802</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 noslēdzās 2024. gada 18. oktobrī. Komentāri, iebildumi vai priekšlikumi par likumprojektu netika saņemti.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24-TA-2443</w:t>
    </w:r>
    <w:r>
      <w:br/>
    </w:r>
    <w:r w:rsidR="00000000" w:rsidRPr="00000000" w:rsidDel="00000000">
      <w:rPr>
        <w:rtl w:val="0"/>
      </w:rPr>
      <w:t xml:space="preserve">Izdrukāts 29.07.2026. 22.35 - 5.0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24-TA-2443</w:t>
    </w:r>
    <w:r>
      <w:br/>
    </w:r>
    <w:r w:rsidR="00000000" w:rsidRPr="00000000" w:rsidDel="00000000">
      <w:rPr>
        <w:rtl w:val="0"/>
      </w:rPr>
      <w:t xml:space="preserve">Izdrukāts 29.07.2026. 22.35 - 5.0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anotācija_(ex_ante)_24-TA-2443.docx</dc:title>
</cp:coreProperties>
</file>

<file path=docProps/custom.xml><?xml version="1.0" encoding="utf-8"?>
<Properties xmlns="http://schemas.openxmlformats.org/officeDocument/2006/custom-properties" xmlns:vt="http://schemas.openxmlformats.org/officeDocument/2006/docPropsVTypes"/>
</file>