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5. februāra noteikumos Nr. 84 "Noteikumi par atsevišķu bīstamu ķīmisku vielu lietošanas ierobežojumiem elektriskajās un elektroniskajās iekārtās""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2013. gada 5. februāra noteikumos Nr. 84 "Noteikumi par atsevišķu bīstamu ķīmisku vielu lietošanas ierobežojumiem elektriskajās un elektroniskajās iekārtās"" projekts (turpmāk - noteikumu projekts) ir nepieciešams, lai līdz 2026.gada 30.jūnijam Latvijas normatīvajos aktos pārņemtu Eiropas Komisijas 2025. gada 8. septembra Deleģēto direktīvu 2025/1802, ar ko Eiropas Parlamenta un Padomes Direktīvu 2011/65/ES groza attiecībā uz atbrīvojumu svina izmantošanai lodmetālos ar augstu kušanas temperatūru (turpmāk - Direktīva 2025/1802), Eiropas Komisijas 2025. gada 8. septembra Deleģēto direktīvu 2025/2363, ar ko Eiropas Parlamenta un Padomes Direktīvu 2011/65/ES groza attiecībā uz atbrīvojumu svina izmantošanai stikla vai keramikas komponentos (turpmāk - Direktīva 2025/2363), Eiropas Komisijas 2025. gada 8. septembra Deleģēto direktīvu 2025/2364, ar ko Eiropas Parlamenta un Padomes Direktīvu 2011/65/ES groza attiecībā uz atbrīvojumu svina kā leģētājelementa izmantošanai tēraudā, alumīnijā un varā (turpmāk - Direktīva 2025/2364), un Eiropas Parlamenta un Padomes 2025.gada 26.novembra direktīvu 2025/2456/ES, ar ko groza Direktīvu 2011/65/ES attiecībā uz zinātnisko un tehnisko uzdevumu pārdalīšanu Eiropas Ķimikāliju aģentūrai (turpmāk - Direktīva 2025/2456).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lai līdz 2026.gada 30.jūnijam Latvijas normatīvajos aktos pārņemtu vairāku ES direktīvu prasības attiecībā uz atsevišķu bīstamu ķīmisku vielu lietošanas ierobežojumiem elektriskajās un elektroniskajās iekārtās.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2025/1802, Direktīva 2025/2363 un Direktīva 2025/2364.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5. februāra noteikumi Nr. 84 "Noteikumi par atsevišķu bīstamu ķīmisku vielu lietošanas ierobežojumiem elektriskajās un elektroniskajās iekārtās" (turpmāk - MK noteikumi Nr. 84) regulē atsevišķu bīstamu ķīmisko vielu izmantošanas ierobežojumus elektriskajās un elektroniskajās iekārtās (turpmāk – iekārtas). MK noteikumu Nr. 84 5. punktā un 1. pielikuma 2. tabulā ir noteikta svina, dzīvsudraba, kadmija, sešvērtīgā hroma, liesmu slāpētāju un plastifikatoru (polibrombifenili (PBB), polibromdifenilēteri (PBDE), bis(2-etilheksil) ftalāts (DEHP), butilbenzilftalāts (BBP),dibutilftalāts (DBP), diizobutilftalāts (DIBP)) ierobežojumi lietošanai iekārtās un maksimāli pieļaujamā koncentrācija viendabīgu materiālu masā.  Savukārt noteikumu N. 84 3. pielikumā ir noteikti pieļaujamie svina, dzīvsudraba, kadmija, sešvērtīgā hroma, polibromēto bifenilu un polibromēto difenilēteru lietojumi, savukārt 4.pielikumā ir noteikti pieļaujamie svina, dzīvsudraba, kadmija, sešvērtīgā hroma, polibromēto bifenilu un polibromēto difenilēteru lietojumi medicīnas ierīcēs un kontroles un monitoringa instrumentos.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Nr.84 7.punktam iekārtu ražotājs, ražotāja pilnvarots pārstāvis vai jebkurš saimnieciskās darbības veicējs piegādes ķēdē var iesniegt Eiropas Komisijā priekšlikumus, lai noteiktu šo noteikumu 3. un 4.pielikumā minēto pieļaujamo svina, dzīvsudraba, kadmija, sešvērtīgā hroma, polibromēto bifenilu un polibromēto difenilēteru lietošanu, lietošanas termiņa pagarināšanu vai atcelšanu ne vēlāk kā 18 mēnešus pirms attiecīgā pieļaujamā lietošanas termiņa beigām. Direktīva 2025/2456 paredz, ka dažus zinātniskos un tehniskos uzdevumus ir jāpārdala Eiropas Ķimikāliju aģentūrai (“Aģentūra”) tāpēc, lai zinātniskās pārbaudes un digitalizācijas procesus un līmeņus saskaņotu ar pašreizējiem Aģentūras standartiem un procesiem. Šādu uzdevumu pārdalīšana ir nepieciešama arī tam, lai nodrošinātu konsekventus zinātniskās kvalitātes, pārredzamības, datu meklējamības un sadarbspējas standartus atbilstoši pieejai “viena viela – viens novērtējums”. Turklāt digitalizācija un procesu racionalizācija samazinās centienu dublēšanos un administratīvo kavēšanos, nodrošinot būtiskus izmaksu ietaupījumus un efektivitātes ieguvumus gan dalībvalstīm, gan uzņēmējiem. Lai nodrošinātu, ka uzņēmēju saskaņā ar Direktīvas 2011/65/ES 5. pantu iesniegtie pieteikumi par atbrīvojumu piešķiršanu, pagarināšanu vai anulēšanu tiek izvērtēti konsekventi, un lai optimāli izmantotu esošo lietpratību ķimikāliju jomā, šādu atbrīvojumu pieteikumu pamatojumu tehniskā izvērtēšana būtu jāveic Aģentūrai un tās komitejām ciešā sadarbībā ar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2011. gada 8. jūnija Direktīvas 2011/65/ES par dažu bīstamu vielu izmantošanas ierobežošanu elektriskās un elektroniskās iekārtās (turpmāk – Direktīva 2011/65/ES) 5. panta 1. punkta „a” apakšpunktam Eiropas Komisija ir izvērtējusi Direktīvas 2011/65/ES III pielikumā minēto lietojumu pielāgošanu zinātnes un tehnikas attīstībai attiecībā attiecībā uz atbrīvojumu svina izmantošanai lodmetālos ar augstu kušanas temperatūru, attiecībā uz atbrīvojumu svina izmantošanai stikla vai keramikas komponentos un attiecībā uz atbrīvojumu svina kā leģētājelementa izmantošanai tēraudā, alumīnijā un varā. Eiropas Komisija ir attiecīgi pieņēmusi Direktīvu 2025/1802, Direktīvu 2025/2363 un Direktīvu 2025/2364.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normatīvajos aktos nav noteikts, ka iekārtu ražotājs, ražotāja pilnvarots pārstāvis vai jebkurš saimnieciskās darbības veicējs piegādes ķēdē var iesniegt Aģentūrā priekšlikumus, lai noteiktu šo noteikumu 3. un 4.pielikumā minēto pieļaujamo svina, dzīvsudraba, kadmija, sešvērtīgā hroma, polibromēto bifenilu un polibromēto difenilēteru lietošanu, lietošanas termiņa pagarināšanu vai atcelšanu. Tāpēc ir nepieciešams precizēt attiecīgo iestādi atbilstoši Direktīvai 2025/2456.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MK noteikumu Nr.84 7.punkta ievaddaļa, nosakot, ka iekārtu ražotājs, ražotāja pilnvarots pārstāvis vai jebkurš saimnieciskās darbības veicējs piegādes ķēdē var iesniegt Aģentūrā priekšlikumus, lai noteiktu šo noteikumu 3. un 4.pielikumā minēto pieļaujamo svina, dzīvsudraba, kadmija, sešvērtīgā hroma, polibromēto bifenilu un polibromēto difenilēteru lietošanu, lietošanas termiņa pagarināšanu vai atcelšanu. Precizēts MK noteikumu Nr.84 7.7.apakšpunkts ir precizēts, nosakot, ka gadījumā, ja pieteikumā minētā informācija par īpašumtiesībām, pievienojot pārbaudāmu pamatojumu, ir konfidenciāla, pieteicējs iesniedz nekonfidenciālu pieteikuma versiju. Atsauce uz ES direktīvām papildināta ar atsauci uz Direktīvu 2025/2456.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Nr.84 nav transponētas Direktīvas 2025/1082 prasības attiecībā uz atbrīvojumu svina izmantošanai lodmetālos ar augstu kušanas temperatūru.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MK noteikumu Nr.84 3.pielikuma 16.punkta redakcija, kā arī MK noteikumu Nr.84 3.pielikums papildināts ar 16.</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2</w:t>
      </w:r>
      <w:r w:rsidR="00000000" w:rsidRPr="00000000" w:rsidDel="00000000">
        <w:rPr>
          <w:rtl w:val="0"/>
        </w:rPr>
        <w:t xml:space="preserve">, 16.</w:t>
      </w:r>
      <w:r w:rsidR="00000000" w:rsidRPr="00000000" w:rsidDel="00000000">
        <w:rPr>
          <w:vertAlign w:val="superscript"/>
          <w:rtl w:val="0"/>
        </w:rPr>
        <w:t xml:space="preserve">3</w:t>
      </w:r>
      <w:r w:rsidR="00000000" w:rsidRPr="00000000" w:rsidDel="00000000">
        <w:rPr>
          <w:rtl w:val="0"/>
        </w:rPr>
        <w:t xml:space="preserve">, 16.</w:t>
      </w:r>
      <w:r w:rsidR="00000000" w:rsidRPr="00000000" w:rsidDel="00000000">
        <w:rPr>
          <w:vertAlign w:val="superscript"/>
          <w:rtl w:val="0"/>
        </w:rPr>
        <w:t xml:space="preserve">4</w:t>
      </w:r>
      <w:r w:rsidR="00000000" w:rsidRPr="00000000" w:rsidDel="00000000">
        <w:rPr>
          <w:rtl w:val="0"/>
        </w:rPr>
        <w:t xml:space="preserve">, 16.</w:t>
      </w:r>
      <w:r w:rsidR="00000000" w:rsidRPr="00000000" w:rsidDel="00000000">
        <w:rPr>
          <w:vertAlign w:val="superscript"/>
          <w:rtl w:val="0"/>
        </w:rPr>
        <w:t xml:space="preserve">5</w:t>
      </w:r>
      <w:r w:rsidR="00000000" w:rsidRPr="00000000" w:rsidDel="00000000">
        <w:rPr>
          <w:rtl w:val="0"/>
        </w:rPr>
        <w:t xml:space="preserve">, 16.</w:t>
      </w:r>
      <w:r w:rsidR="00000000" w:rsidRPr="00000000" w:rsidDel="00000000">
        <w:rPr>
          <w:vertAlign w:val="superscript"/>
          <w:rtl w:val="0"/>
        </w:rPr>
        <w:t xml:space="preserve">6 </w:t>
      </w:r>
      <w:r w:rsidR="00000000" w:rsidRPr="00000000" w:rsidDel="00000000">
        <w:rPr>
          <w:rtl w:val="0"/>
        </w:rPr>
        <w:t xml:space="preserve">un 16.</w:t>
      </w:r>
      <w:r w:rsidR="00000000" w:rsidRPr="00000000" w:rsidDel="00000000">
        <w:rPr>
          <w:vertAlign w:val="superscript"/>
          <w:rtl w:val="0"/>
        </w:rPr>
        <w:t xml:space="preserve">7</w:t>
      </w:r>
      <w:r w:rsidR="00000000" w:rsidRPr="00000000" w:rsidDel="00000000">
        <w:rPr>
          <w:rtl w:val="0"/>
        </w:rPr>
        <w:t xml:space="preserve"> apakšpunktu. Atsauce uz ES direktīvām papildināta ar atsauci uz Direktīvu 2025/1082.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Nr.84 nav transponētas Direktīvas 2025/2363 prasības attiecībā uz atbrīvojumu svina izmantošanai stikla vai keramikas komponentos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MK noteikumu Nr.84 3.pielikuma 18. un 19.punkta redakcija, kā arī MK noteikumu Nr.84 3.pielikums papildināts ar 19.</w:t>
      </w:r>
      <w:r w:rsidR="00000000" w:rsidRPr="00000000" w:rsidDel="00000000">
        <w:rPr>
          <w:vertAlign w:val="superscript"/>
          <w:rtl w:val="0"/>
        </w:rPr>
        <w:t xml:space="preserve">1</w:t>
      </w:r>
      <w:r w:rsidR="00000000" w:rsidRPr="00000000" w:rsidDel="00000000">
        <w:rPr>
          <w:rtl w:val="0"/>
        </w:rPr>
        <w:t xml:space="preserve">, 48.</w:t>
      </w:r>
      <w:r w:rsidR="00000000" w:rsidRPr="00000000" w:rsidDel="00000000">
        <w:rPr>
          <w:vertAlign w:val="superscript"/>
          <w:rtl w:val="0"/>
        </w:rPr>
        <w:t xml:space="preserve">1</w:t>
      </w:r>
      <w:r w:rsidR="00000000" w:rsidRPr="00000000" w:rsidDel="00000000">
        <w:rPr>
          <w:rtl w:val="0"/>
        </w:rPr>
        <w:t xml:space="preserve"> un 48.</w:t>
      </w:r>
      <w:r w:rsidR="00000000" w:rsidRPr="00000000" w:rsidDel="00000000">
        <w:rPr>
          <w:vertAlign w:val="superscript"/>
          <w:rtl w:val="0"/>
        </w:rPr>
        <w:t xml:space="preserve">2</w:t>
      </w:r>
      <w:r w:rsidR="00000000" w:rsidRPr="00000000" w:rsidDel="00000000">
        <w:rPr>
          <w:rtl w:val="0"/>
        </w:rPr>
        <w:t xml:space="preserve"> punktu. Atsauce uz ES direktīvām papildināta ar atsauci uz Direktīvu 2025/2363.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noteikumos Nr.84 nav transponētas Direktīvas 2025/2364 prasības attiecībā uz atbrīvojumu svina kā leģētājelementa izmantošanai tēraudā, alumīnijā un 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MK noteikumu 3.pielikuma 13., 13.</w:t>
      </w:r>
      <w:r w:rsidR="00000000" w:rsidRPr="00000000" w:rsidDel="00000000">
        <w:rPr>
          <w:vertAlign w:val="superscript"/>
          <w:rtl w:val="0"/>
        </w:rPr>
        <w:t xml:space="preserve">1</w:t>
      </w:r>
      <w:r w:rsidR="00000000" w:rsidRPr="00000000" w:rsidDel="00000000">
        <w:rPr>
          <w:rtl w:val="0"/>
        </w:rPr>
        <w:t xml:space="preserve">, 14.,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punkta redakcija, kā arī MK noteikumu Nr.84 3.pielikums papildināts ar 13.</w:t>
      </w:r>
      <w:r w:rsidR="00000000" w:rsidRPr="00000000" w:rsidDel="00000000">
        <w:rPr>
          <w:vertAlign w:val="superscript"/>
          <w:rtl w:val="0"/>
        </w:rPr>
        <w:t xml:space="preserve">2</w:t>
      </w:r>
      <w:r w:rsidR="00000000" w:rsidRPr="00000000" w:rsidDel="00000000">
        <w:rPr>
          <w:rtl w:val="0"/>
        </w:rPr>
        <w:t xml:space="preserve"> un 14.</w:t>
      </w:r>
      <w:r w:rsidR="00000000" w:rsidRPr="00000000" w:rsidDel="00000000">
        <w:rPr>
          <w:vertAlign w:val="superscript"/>
          <w:rtl w:val="0"/>
        </w:rPr>
        <w:t xml:space="preserve">3 </w:t>
      </w:r>
      <w:r w:rsidR="00000000" w:rsidRPr="00000000" w:rsidDel="00000000">
        <w:rPr>
          <w:rtl w:val="0"/>
        </w:rPr>
        <w:t xml:space="preserve">punktu. Atsauce uz ES direktīvām papildināta ar atsauci uz Direktīvu 2025/2364.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izstrādājot Direktīvu 2025/1802, Direktīvu 2025/2363 un Direktīvu 2025/2364, ir izvērtējusi alternatīvos risinājumus Direktīvas 2011/65/ES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izstrādājot Direktīvu 2025/1802, Direktīvu 2025/2363 un Direktīvu 2025/2364, ir izvērtējusi prasību un izmaksu samērīgumu pret ieguvumiem Direktīvas 2011/65/ES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Commission: Directorate-General for Environment, Study to assess requests for 29 renewal requests concerning one specific EEE category and two (-2-) new exemption requests under the Directive 2011/65/EU – Final report, Publications Office of the European Union, 2024, https://data.europa.eu/doi/10.2779/434367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veikusi izvērtējumu attiecībā uz atbrīvojumu svina izmantošanai lodmetālos ar augstu kušanas temperatūru.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Commission: Directorate-General for Environment and Oeko-Institut e.V, Study to assess requests for a renewal of nine (-9-) exemptions 6(a), 6(a)-I, 6(b), 6(b)-I, 6(b)-II, 6(c), 7(a), 7(c)-I and 7 (c)-II of Annex III of Directive 2011/65/EU (Pack 22) – Final report, Publications Office of the European Union, 2022, https://data.europa.eu/doi/10.2779/869784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veikusi izvērtējumu attiecībā uz atbrīvojumu svina izmantošanai stikla vai keramikas komponentos un attiecībā uz atbrīvojumu svina kā leģētājelementa izmantošanai tēraudā, alumīnijā un 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Commission: Directorate-General for Environment, Study to assess requests for 29 renewal requests concerning one specific EEE category and two (-2-) new exemption requests under the Directive 2011/65/EU – Final report, Publications Office of the European Union, 2024, https://data.europa.eu/doi/10.2779/434367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veikusi izvērtējumu attiecībā uz atbrīvojumu svina izmantošanai stikla vai keramikas komponentos un attiecībā uz atbrīvojumu svina kā leģētājelementa izmantošanai tēraudā, alumīnijā un 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elektrisko un elektronisko iekārtu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prasības attiecas uz iekārtu, to rezerves daļu un kabeļu ražotāji – aptuveni 250 komersanti, pilnvarotie pārstāvji, importētāji un izplatītāji – aptuveni 1400 komersanti.
Iekārtu lietotāji - juridiskās personas.
Iekārtu atkritumu apsaimniekošanas komersanti – divi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32025L2456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26. novembra Direktīva (ES) 2025/2456, ar ko groza Direktīvu 2011/65/ES attiecībā uz zinātnisko un tehnisko uzdevumu pārdalīšanu Eiropas Ķimikāliju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11. decembra paziņojumā par Eiropas zaļo kursu ir izvirzīts mērķis ķīmiskā drošuma novērtējumos būtu jāvirzās uz pieeju “viena viela – viens novērtējums”, aicinot ieviest pārredzamākus un vienkāršākus riska novērtēšanas procesus, lai samazinātu slogu visām ieinteresētajām personām, paātrinātu lēmumu pieņemšanu un uzlabotu zinātnisko lēmumu un atzinumu konsekvenci un paredzamību. Komisijas 2020. gada 14. oktobra paziņojumā “Ilgtspēju sekmējoša ķimikāliju stratēģija. Ceļā uz vidi, kas brīva no toksikantiem” ir secināts – lai šo mērķi sasniegtu, daļa zinātniskā un tehniskā darba, kas ķimikāliju jomā tiek veikts Savienības līmenī Savienības tiesību aktu vajadzībām, ir jāpārdala pašām piemērotākajām Savienības aģentūrām. Tas vienkāršotu pašreizējo sistēmu, uzlabotu dažādās Savienības tiesību aktos paredzēto drošuma novērtējumu kvalitāti un saskanību un nodrošinātu pašreizējo resursu efektīvāku izmantošanu. Paredzams, ka, ar šo pieeju vienkāršojot regulatīvās procedūras un samazinot administratīvo slogu, tiks veicināta arī izmaksu lietderība un konkurētspēja, tādējādi nodrošinot, ka uzņēmumi var efektīvi pielāgoties mainīgajam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Dažus zinātniskos un tehniskos uzdevumus ir jāpārdala Eiropas Ķimikāliju aģentūrai (“Aģentūra”) tāpēc, lai zinātniskās pārbaudes un digitalizācijas procesus un līmeņus saskaņotu ar pašreizējiem Aģentūras standartiem un procesiem. Šādu uzdevumu pārdalīšana ir nepieciešama arī tam, lai nodrošinātu konsekventus zinātniskās kvalitātes, pārredzamības, datu meklējamības un sadarbspējas standartus atbilstoši pieejai “viena viela – viens novērtējums”. Turklāt digitalizācija un procesu racionalizācija samazinās centienu dublēšanos un administratīvo kavēšanos, nodrošinot būtiskus izmaksu ietaupījumus un efektivitātes ieguvumus gan dalībvalstīm, gan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2011/65/ES grozījuma mērķis ir paplašināt Aģentūras zinātnisko komiteju uzdevumus, darba slodzi un kompetenci. Lai tās spētu nodrošināt atbilstīgu lietpratību un atbalstu, un rūpīgus zinātniskus novērtējumus, zinātniskajām komitejām būtu jānodrošina pienācīgi un stabili resursi un pārvaldība. Tādēļ būtu lietderīgi paredzēt pārskatīšanas klauzulu, lai nodrošinātu, ka Komisija ņem vērā visas turpmākās regulatīvās norises saistībā ar Aģentūras zinātnisko komiteju pārvaldību, un vajadzības gadījumā attiecīgi pārskatītu Direktīvu 2011/65/ES.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procedūru noteikumu grozīšanai ir vajadzīgs paredzēt divdesmit mēnešus ilgu pārejas periodu, lai varētu Aģentūrai pienācīgi iedalīt resursus un uzdevumus. Minētais termiņš tiek uzskatīts par pietiekamu, lai potenciālajiem pieteikumu iesniedzējiem vai dalībvalstīm dotu iespēju pielāgoties minētajā direktīvā noteiktajām izmaiņām procedūras etapos.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32025L1802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8. septembra Deleģētā direktīva 2025/1802, ar ko Eiropas Parlamenta un Padomes Direktīvu 2011/65/ES groza attiecībā uz atbrīvojumu svina izmantošanai lodmetālos ar augstu kušanas temperatūru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4. panta 1. punktā dalībvalstīm prasīts nodrošināt, ka tirgū laistās elektriskās un elektroniskās iekārtas nesatur minētās direktīvas II pielikumā uzskaitītās bīstamās vielas. Šo ierobežojumu nepiemēro noteiktiem minētās direktīvas III pielikumā norādītiem lietojumiem, kuriem ir piešķirts atbrīvojums. Svins ir Direktīvas 2011/65/ES II pielikumā iekļauta ierobežota izmantojuma viela. Viendabīgos materiālos svina maksimālā pieļaujamā koncentrācijas vērtība ir 0,1 masas %. Ar Komisijas Deleģēto direktīvu (ES) 2018/742 tika piešķirts atbrīvojums svina izmantošanai lodmetālos ar augstu kušanas temperatūru, kā noteikts Direktīvas 2011/65/ES III pielikuma 7(a) punktā. Minētā atbrīvojuma darbības joma kopš tā ieviešanas nav mainījusies. Attiecībā uz lielāko daļu elektrisko un elektronisko iekārtu kategoriju atbrīvojumam bija jābeidzas 2021. gada 21.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janvārī un oktobrī Direktīvas 2011/65/ES 5. panta 5. punktā noteiktajā pagarināšanas termiņā tika saņemti trīs pieprasījumi par 4. apsvērumā minētā atbrīvojuma pagarināšanu. Saskaņā ar Direktīvas 2011/65/ES 5. panta 5. punkta otro daļu spēkā esošais atbrīvojums paliek spēkā, iekams Komisija nav pieņēmusi lēmumu par pagarināšanas pieteikumu. Lai izvērtētu saņemtos pieteikumus, 2022. gadā tika veikts un pabeigts tehniskās un zinātniskās novērtēšanas pētījums.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janvārī Direktīvas 2011/65/ES 5. panta 5. punktā noteiktajā pagarināšanas termiņā tika iesniegti divi pagarināšanas pieteikumi attiecībā uz 9. un 11. kategoriju. Saskaņā ar Direktīvas 2011/65/ES 5. panta 5. punkta otro daļu spēkā esošais atbrīvojums paliek spēkā, iekams Komisija nav pieņēmusi lēmumu par pagarināšanas pieteikumu. Lai izvērtētu saņemtos pieteikumus, 2024. gadā tika veikts un pabeigts tehniskās un zinātniskās novērtēšanas pētījums.Izvērtēšanas gaitā notika arī apspriešanās ar ieinteresētajām personām saskaņā ar Direktīvas 2011/65/ES 5.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pieprasīto atbrīvojuma pagarināšanu, tika secināts, ka svinu saturošus lodmetālus ar augstu kušanas temperatūru izmanto dažādos elektrisko un elektronisko iekārtu lietojumos. Šo veidu lodmetālos svina saturs pārsniedz 85 masas %, un tiem ir tādas būtiskas īpašības kā augsta kušanas temperatūra, elektrovadītspēja, īpatnējā siltumvadītspēja, stiepjamība, korozijizturība, pienācīgi oksidācijas parametri un samitrināmība.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atsevišķi aizstājēji un alternatīvas ir daļēji pieejamas, nākamajos trijos gados visiem attiecīgajiem lietojumiem bezsvina risinājumi nebūs pieejami vai būs pieejami tikai ar nepietiekamu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bijis pietiekami daudz laika, lai piedalītos apakšierakstu izstrādē un pielāgotos tai, un tā kā uz visām relevantajām lietojuma jomām, uz kurām attiecas pašlaik piemērojamais atbrīvojums, kas noteikts Direktīvas 2011/65/ES III pielikuma 7(a) punktā, arī turpmāk būtu jāattiecina pagarinātais atbrīvojums, netiek uzskatīts, ka sadalīšana apakšierakstos ir nesamērīgs administratīvais slogs nozarei. Lai novērstu jebkādus būtiskus tirgus izkropļojumus attiecīgajā nozarē, būtu jāparedz laika periods, kurā jānoskaidro trūkstošās lietojuma jomas. Tāpēc saskaņā ar Direktīvas 2011/65/ES 5. panta 2. punkta pirmo daļu būtu jāpiešķir īss derīguma termiņš Direktīvas 2011/65/ES III pielikuma 7(a) punktā noteiktā atbrīvojuma pakāpeniskai atcelšanai. Ņemot vērā Direktīvas 2011/65/ES III pielikuma 7(a) punktā noteiktā atbrīvojuma atlikušo īstermiņa pagarinājumu, ir lietderīgi noteikt vienu beigu termiņu visām Direktīvas 2011/65/ES I pielikumā noteiktajām EEI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32025L2363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8. septembra Deleģētā direktīva 2025/2363, ar ko Eiropas Parlamenta un Padomes Direktīvu 2011/65/ES groza attiecībā uz atbrīvojumu svina izmantošanai stikla vai keramikas komponentos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4. panta 1. punktā dalībvalstīm prasīts nodrošināt, ka tirgū laistās elektriskās un elektroniskās iekārtas nesatur minētās direktīvas II pielikumā uzskaitītās bīstamās vielas. Šo ierobežojumu nepiemēro noteiktiem minētās direktīvas III pielikumā norādītiem lietojumiem, kuriem ir piešķirts atbrīvojums. Svins ir Direktīvas 2011/65/ES II pielikumā iekļauta ierobežota izmantojuma viela. Viendabīgos materiālos svina maksimālā pieļaujamā koncentrācijas vērtība ir 0,1 masas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Deleģēto direktīvu (ES) 2018/736 tika piešķirts atbrīvojums attiecībā uz elektriskiem un elektroniskiem komponentiem, kas satur svinu stiklā, keramikā vai stikla vai keramikas matricas savienojumā, kā noteikts Direktīvas 2011/65/ES III pielikuma 7(c)-I punktā. Atbrīvojumam attiecībā uz katru attiecīgo elektrisko un elektronisko iekārtu kategoriju bija jābeidzas attiecīgi 2021. gada 21. jūlijā, 2023. gada 21. jūlijā un 2024. gada 21.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Deleģēto direktīvu (ES) 2019/169 tika piešķirts atbrīvojums attiecībā uz svinu dielektriskās keramikas kondensatoros nominālajam spriegumam vismaz 125 V (maiņstrāvai) vai 250 V (līdzstrāvai) vai vairāk, kā noteikts Direktīvas 2011/65/ES III pielikuma 7(c)-II punktā. Atbrīvojumam attiecībā uz katru attiecīgo elektrisko un elektronisko iekārtu kategoriju bija jābeidzas attiecīgi 2021. gada 21. jūlijā, 2023. gada 21. jūlijā un 2024. gada 21.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kopumā saņēma deviņus pieprasījumus pagarināt iepriekš minētos atbrīvojumus, kas aptver visas elektrisko un elektronisko iekārtu kategorijas.  Visi pieprasījumi tika saņemti Direktīvas 2011/65/ES 5. panta 5. punktā noteiktajā pagarināšanas termiņā. Saskaņā ar Direktīvas 2011/65/ES 5. panta 5. punkta otro daļu spēkā esošais atbrīvojums paliek spēkā, kamēr Komisija nav pieņēmusi lēmumu par pagarināšanas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saņemtos pieteikumus, 2022. gadā tika veikts un pabeigts tehniskās un zinātniskās novērtēšanas pētījums. 2024. gadā tika veikts un pabeigts vēl viens pētījums par elektrisko un elektronisko iekārtu kategorijām, attiecībā uz kurām pagarināšana tika pieprasīta vēlākā posmā . Izvērtēšanas gaitā notika arī apspriešanās ar ieinteresētajām personām saskaņā ar Direktīvas 2011/65/ES 5.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Pieprasītā atbrīvojuma pagarināšanas izvērtējumā tika secināts, ka keramikā svins nodrošina īpašas dielektriskās, pjezoelektriskās, piroelektriskās, feroelektriskās, pusvadītāja un magnētiskās īpašības plašā izmantošanas diapazonā temperatūras, sprieguma vai frekvenču ziņā. Stiklam svins piešķir tādas izšķirīgi svarīgas īpašības kā zemāka kušanas un mīksttapšanas temperatūra, labāka apstrādājamība un mehāniskā apstrādājamība, ķīmiskā stabilitāte un citas. Svinu saturošas keramikas un stiklu aizstājēji vai nu tehniski nav realizējami visos lietojumos, vai arī aizstājēji nav pietiekami uzticami konkrētiem lietojumiem. Tādējādi pieprasītais pagarinājums atbilst Direktīvas 2011/65/ES 5. panta 1. punkta a) apakšpunkta pirmajā un otrajā ievilkumā noteiktajiem kritērijiem, proti, likvidēšana vai aizvietošana, mainot konstrukciju vai tādus materiālus un tādas detaļas, kurām nevajag nevienu no II pielikumā uzskaitītajiem materiāliem vai vielām, zinātniski vai tehniski nav realizējama un nav nodrošināta aizstājēju uzticamība. Lai nākotnē varētu veikt mērķtiecīgāku tehnisko novērtējumu, pašreizējais atbrīvojums, kas noteikts Direktīvas 2011/65/ES III pielikuma 7(c)-I punktā, būtu jāsadala divos punktos, proti, 7(c)-V punktā attiecībā uz svinu stikla lietojumos un 7(c)-VI punktā attiecībā uz svinu keramikas lietojumos. Ir lietderīgi minētajos ierakstos precizēt tehniskos lietojumus.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32025L2364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8. septembra Deleģētā direktīva 2025/2364, ar ko Eiropas Parlamenta un Padomes Direktīvu 2011/65/ES groza attiecībā uz atbrīvojumu svina kā leģētājelementa izmantošanai tēraudā, alumīnijā un 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4. panta 1. punktā dalībvalstīm prasīts nodrošināt, ka tirgū laistās elektriskās un elektroniskās iekārtas nesatur minētās direktīvas II pielikumā uzskaitītās bīstamās vielas. Šo ierobežojumu nepiemēro noteiktiem minētās direktīvas III pielikumā norādītiem lietojumiem, kuriem ir piešķirts atbrīvojums. Svins ir Direktīvas 2011/65/ES II pielikumā iekļauta ierobežota izmantojuma viela. Viendabīgos materiālos svina maksimālā pieļaujamā koncentrācijas vērtība ir 0,1 masas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Deleģēto direktīvu (ES) 2018/739 saskaņā ar Direktīvas 2011/65/ES III pielikuma 6(a)-I punktu tika piešķirts atbrīvojums svina kā leģētājelementa izmantošanai tēraudā mehāniskai apstrādei, kas satur līdz 0,35 masas % svina, un periodiskā procesā karsti cinkota tērauda detaļās, kurās svina saturs nepārsniedz 0,2 masas %. Minētais atbrīvojums attiecas uz Direktīvas 2011/65/ES I pielikumā uzskaitīto elektrisko un elektronisko iekārtu 1.–7. kategoriju un 10. kategoriju. Minētās direktīvas III pielikuma 6(a) punktā noteikto atbrīvojumu piemēroja tikai 8., 9. un 11. kategorijas elektriskām un elektroniskām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Deleģēto direktīvu (ES) 2018/740 tika piešķirti atbrīvojumi svina kā leģētājelementa alumīnijā izmantošanai, kas satur līdz 0,4 masas % svina, vai nu mehāniskai apstrādei, vai svinu saturošu alumīnija lūžņu reciklēšanai. Atbrīvojumi ir noteikti Direktīvas 2011/65/ES III pielikuma 6(b)-I un 6(b)-II punktā. Minētie atbrīvojumi attiecas uz Direktīvas 2011/65/ES I pielikumā uzskaitīto elektrisko un elektronisko iekārtu 1.–7. kategoriju un 10. kategoriju. Minētās direktīvas III pielikuma 6(b) punktā noteikto atbrīvojumu piemēroja tikai 8., 9. un 11. kategorijas elektriskām un elektroniskām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kopumā saņēma astoņus pieprasījumus pagarināt iepriekš minētos atbrīvojumus, kas aptver visas elektrisko un elektronisko iekārtu kategorijas. Lai izvērtētu saņemtos pieteikumus, 2022. gadā tika veikts un pabeigts tehniskās un zinātniskās novērtēšanas pētījums. 2024. gadā tika veikts un pabeigts vēl viens pētījums, kurā galvenā uzmanība tika pievērsta kategorijām, attiecībā uz kurām pagarināšana tika pieprasīta vēlāk. Izvērtēšanas gaitā notika arī apspriešanās ar ieinteresētajām personām saskaņā ar Direktīvas 2011/65/ES 5.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Pieprasītā atbrīvojuma pagarinājuma izvērtējumā tika secināts, ka attiecībā uz Direktīvas 2011/65/ES III pielikuma 6(a)-I punktā noteikto atbrīvojumu svins tēraudā joprojām ir nepieciešams, lai sasniegtu noteiktas mehāniskās apstrādes īpašības. Aizstāšana vai likvidēšana periodiskā procesā karsti cinkotā tēraudā pašlaik nav ne tehniski iespējama, ne ekonomiski izdevīga. Tomēr abus tehniskos lietojumus var iedalīt Direktīvas 2011/65/ES III pielikuma 6(a)-I un 6(a)-II punktā, lai nākamajā pārskatīšanā varētu veikt mērķtiecīgāku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2011/65/ES III pielikuma 6(b)-I punktā noteikto atbrīvojumu svinam alumīnijā, ja tā klātbūtne ir saistīta ar svinu saturošu alumīnija lūžņu reciklēšanu, tika konstatēts, ka svina koncentrāciju alumīnijā var vēl vairāk samazināt līdz 0,3 masas %. Tas būtu jāizklāsta jaunā punktā, precizējot, ka šāds alumīnijs ir liets sakausējums.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2011/65/ES III pielikuma 6(c) punktu par vara sakausējumiem ar svina saturu līdz 4 masas % – zinātniskā un tehniskā novērtējuma laikā nebija iespējams identificēt un noteikt lietojuma jomas, kurām atbrīvojums vairs nav vajadzīgs, neraugoties uz daudzām norādēm, ka dažos lietojumos svinu varētu veiksmīgi aizstāt. Tā kā aizstājēji nav pietiekami uzticami, būtu jāpiešķir atbrīvojuma pagarinājums. Ņemot vērā tehnisko izvērtējumu, ir lietderīgi noteikt vienu beigu termiņu visām Direktīvas 2011/65/ES I pielikumā uzskaitītajām kategorijām.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2025. gada 26. novembra Direktīva (ES) 2025/2456, ar ko groza Direktīvu 2011/65/ES attiecībā uz zinātnisko un tehnisko uzdevumu pārdalīšanu Eiropas Ķimikāliju aģentūrai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1.1.apakšpunkta redakcijā izteiktā 7.punkta 1.teikums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1.1.apakšpunkta redakcijā izteiktā 7.punkta 1.teikums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izmantota 6.panta 2.punktā paredzētā rīcības brīviba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izmantota 6.a panta 2.punktā noteiktā rīcības brīviba dalībvalstīm. 6.b un 6.c pants attiecas uz Eiropas Komisijas pilnvarām.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Saistīts ar rīcības brīvību dalībvalstij pārņemt vai ieviest Direktīvas 2025/2456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Stāšanās spēkā.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Latvijas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Saistīts ar rīcības brīvību dalībvalstij pārņemt vai ieviest Direktīvas 2025/2456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2011/65/EK II pielikumā ir noteiktas vielas, kuru lietošana ierīcēs ir ierobežota - svins, kadmijs, dzīvsudrabs, sešvērtīgais hroms, polibromētie bifenili (PBB) un polibromētie difenilēteri (PBDE), bis (2-etilheksil) ftalāts (DEHP), butilbenzilftalāts (BBP), dibutilftalāts (DBP) un diizobutilftalāts (DIBP). Saraksts ar Direktīvā 2011/65/ES minētajām vielām, kuru izmantošana ir ierobežota, būtu periodiski jāpārskata, lai nodrošinātu augstu cilvēka veselības, vides un patērētāju drošības aizsardzības līmeni. Ir lietderīgi, ka šāda pārskatīšana notiek vismaz reizi 4 gados, ņemot vērā tirgus attīstību, zinātnes un tehnikas attīstību, to, ka dalībvalstis jebkurā laikā var iesniegt ierobežošanas dokumentāciju un ka var tikt ierosināti un pieņemti horizontāli ierobežošanas pasākumi saskaņā ar Regulu (EK) Nr. 1907/2006, Eiropas Parlamenta un Padomes Regulu (ES) 2019/1021 (5) vai citiem Savienības tiesību aktiem par bīstamo vielu un ķimikāliju ilgtspējas kritērijiem. Ņemot vērā Direktīvas 2025/2456 V A pielikumā noteikto apkopojamo informāciju, lai pārskatītu vai papildinātu Direktīvas 2012/65/EK II pielikumā iekļauto vielu sarakstu, Latvijas rīcībā nav resursu, lai sagatavotu pamatojumu tam, ka vispiemērotākais risinājums ir ierobežot attiecīgās vielas izmantošanu visā Eiropas Savienībā.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8. septembra Deleģētā direktīva 2025/1802, ar ko Eiropas Parlamenta un Padomes Direktīvu 2011/65/ES groza attiecībā uz atbrīvojumu svina izmantošanai lodmetālos ar augstu kušanas temperatūru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Pienākums paziņot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apakšpunkts (precizēta MK noteikumu Nr.84 3.pielikuma 16.punkta redakcija, kā arī MK noteikumu Nr.84 3.pielikums papildināts ar 16.1, 16.2, 16.3, 16.4, 16.5, 16.6 un 16.7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8. septembra Deleģētā direktīva 2025/2363, ar ko Eiropas Parlamenta un Padomes Direktīvu 2011/65/ES groza attiecībā uz atbrīvojumu svina izmantošanai stikla vai keramikas komponentos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1.4.apakšpunkts,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Pienākums paziņot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1.7.apakšpunkts (Precizēta MK noteikumu Nr.84 3.pielikuma 18. un 19.punkta redakcija, kā arī MK noteikumu Nr.84 3.pielikums papildināts ar 19.1, 48.1 un 48.2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8. septembra Deleģētā direktīva 2025/2364, ar ko Eiropas Parlamenta un Padomes Direktīvu 2011/65/ES groza attiecībā uz atbrīvojumu svina kā leģētājelementa izmantošanai tēraudā, alumīnijā un varā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apakšpunkts, 3.punkts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Pienākums paziņot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apakšpunkts (Precizēta MK noteikumu 3.pielikuma 13., 13.1, 14., 14.1 un 14.2 punkta redakcija, kā arī MK noteikumu Nr.84 3.pielikums papildināts ar 13.2 un 14.3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apspriešanas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apspriešanas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apspriešanas pabeigšanas.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anotācija_(ex_ante)_26-TA-5.docx</dc:title>
</cp:coreProperties>
</file>

<file path=docProps/custom.xml><?xml version="1.0" encoding="utf-8"?>
<Properties xmlns="http://schemas.openxmlformats.org/officeDocument/2006/custom-properties" xmlns:vt="http://schemas.openxmlformats.org/officeDocument/2006/docPropsVTypes"/>
</file>