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grozījumus Ministru kabineta 2023. gada 8. augusta noteikumos Nr. 443 "Eiropas Savienības Atveseļošanas un noturības mehānisma plāna 1.2. reformu un investīciju virziena "Energoefektivitātes uzlabošana" 1.2.1.4.i. investīcijas "Energoefektivitātes uzlabošana valsts sektora ēkās, t.sk. vēsturiskajās ēkās" īstenošanas noteikumi" (turpmāk – MK noteikumi Nr. 443).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mērķis ir nodrošināt papildu finansējumu 1.2.1.4.i. investīcijas "Energoefektivitātes uzlabošana valsts sektora ēkās, t.sk. vēsturiskajās ēkās" (turpmāk - 1.2.1.4.i. investīcija) īstenošanas nodrošināšanai un rādītāju sasniegšanai līdz 30.06.2026.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investīcijai kopējais pieejamais finansējums ir 28 735 222 </w:t>
      </w:r>
      <w:r w:rsidR="00000000" w:rsidRPr="00000000" w:rsidDel="00000000">
        <w:rPr>
          <w:i w:val="1"/>
          <w:rtl w:val="0"/>
        </w:rPr>
        <w:t xml:space="preserve">euro</w:t>
      </w:r>
      <w:r w:rsidR="00000000" w:rsidRPr="00000000" w:rsidDel="00000000">
        <w:rPr>
          <w:rtl w:val="0"/>
        </w:rPr>
        <w:t xml:space="preserve"> (Atveseļošanas fonda finansējums 23 956 000 </w:t>
      </w:r>
      <w:r w:rsidR="00000000" w:rsidRPr="00000000" w:rsidDel="00000000">
        <w:rPr>
          <w:i w:val="1"/>
          <w:rtl w:val="0"/>
        </w:rPr>
        <w:t xml:space="preserve">euro</w:t>
      </w:r>
      <w:r w:rsidR="00000000" w:rsidRPr="00000000" w:rsidDel="00000000">
        <w:rPr>
          <w:rtl w:val="0"/>
        </w:rPr>
        <w:t xml:space="preserve"> un valsts budžeta finansējums 4 779 222 </w:t>
      </w:r>
      <w:r w:rsidR="00000000" w:rsidRPr="00000000" w:rsidDel="00000000">
        <w:rPr>
          <w:i w:val="1"/>
          <w:rtl w:val="0"/>
        </w:rPr>
        <w:t xml:space="preserve">euro</w:t>
      </w:r>
      <w:r w:rsidR="00000000" w:rsidRPr="00000000" w:rsidDel="00000000">
        <w:rPr>
          <w:rtl w:val="0"/>
        </w:rPr>
        <w:t xml:space="preserve">), no tā ar finansējuma saņēmējiem Centrālā finanšu un līgumu aģentūra (turpmāk - CFLA) uz 2025. gada augustu ir noslēgusi visus 11 līgumus un dažus grozījumus līgumos 27 264 001 </w:t>
      </w:r>
      <w:r w:rsidR="00000000" w:rsidRPr="00000000" w:rsidDel="00000000">
        <w:rPr>
          <w:i w:val="1"/>
          <w:rtl w:val="0"/>
        </w:rPr>
        <w:t xml:space="preserve">euro</w:t>
      </w:r>
      <w:r w:rsidR="00000000" w:rsidRPr="00000000" w:rsidDel="00000000">
        <w:rPr>
          <w:rtl w:val="0"/>
        </w:rPr>
        <w:t xml:space="preserve"> apmērā (Atveseļošanas fonda finansējums 22 723 923 </w:t>
      </w:r>
      <w:r w:rsidR="00000000" w:rsidRPr="00000000" w:rsidDel="00000000">
        <w:rPr>
          <w:i w:val="1"/>
          <w:rtl w:val="0"/>
        </w:rPr>
        <w:t xml:space="preserve">euro</w:t>
      </w:r>
      <w:r w:rsidR="00000000" w:rsidRPr="00000000" w:rsidDel="00000000">
        <w:rPr>
          <w:rtl w:val="0"/>
        </w:rPr>
        <w:t xml:space="preserve"> un valsts budžeta finansējums 4 540 078 </w:t>
      </w:r>
      <w:r w:rsidR="00000000" w:rsidRPr="00000000" w:rsidDel="00000000">
        <w:rPr>
          <w:i w:val="1"/>
          <w:rtl w:val="0"/>
        </w:rPr>
        <w:t xml:space="preserve">euro</w:t>
      </w:r>
      <w:r w:rsidR="00000000" w:rsidRPr="00000000" w:rsidDel="00000000">
        <w:rPr>
          <w:rtl w:val="0"/>
        </w:rPr>
        <w:t xml:space="preserve">), no kuriem trīs ir statusā "Pabeigts", jo to īstenošana netiek turpināta 1.2.1.4.i. investīcijas ietvaros, pārējiem finansējuma saņēmējiem tiek plānota gan tehniskās dokumentācijas izstrāde, gan būvdarbi 1.2.1.4.i. investīcijas ietvaros, vienīgi finansējuma saņēmējam Mākslu izglītības kompetences centrs "Nacionālā Mākslu vidusskola" tehniskā dokumentācija tiek izstrādāta projekta adresē Meža iela 15, Rīga un būvdarbi tiks veikti Eiropas Savienības kohēzijas politikas programmas 2021.–2027. gadam 2.1.1. specifiskā atbalsta mērķa "Energoefektivitātes veicināšana un siltumnīcefekta gāzu emisiju samazināšana" 2.1.1.8. pasākuma "Energoefektivitāti veicinoši pasākumi kultūras infrastruktūrā" ietvaros, kā arī ir pabeigti būvdarbi projekta adresē Slokas iela 52a, Rīga, kas attiecināmi uz 1.2.1.4.i. investīciju. Uz 2025. gada augustu kopējais nenokontraktētais finansējums ir 1 471 221 </w:t>
      </w:r>
      <w:r w:rsidR="00000000" w:rsidRPr="00000000" w:rsidDel="00000000">
        <w:rPr>
          <w:i w:val="1"/>
          <w:rtl w:val="0"/>
        </w:rPr>
        <w:t xml:space="preserve">euro, </w:t>
      </w:r>
      <w:r w:rsidR="00000000" w:rsidRPr="00000000" w:rsidDel="00000000">
        <w:rPr>
          <w:rtl w:val="0"/>
        </w:rPr>
        <w:t xml:space="preserve">no kura finansējuma saņēmējiem vēl jānoslēdz divi līguma grozījumi par būvdarbiem un būvdarbu izmaksu indeksācijas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ietvaros līdz 2026. gada 30. jūnijam projektu īstenošanas rezultātā jāsasniedz kopējās primārās enerģijas patēriņa samazinājums valsts ēkās ar uzlabotu energoefektivitāti vismaz 3875 MWh gadā, kā arī projektu īstenošanas rezultātā vidēji investīcijas ietvaros jāsasniedz 30 % kopējās primārās enerģijas ietaupījums ar vidēju restaurācijas, pārbūves vai atjaunošanas pamatīguma pakāpi ēkai (ēku grupai).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1.2.1.4.i. investīcijas īstenošanas ietvaros ir konstatēts sadārdzinājums diviem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Nr. 1.2.1.4.i.0/1/23/I/CFLA/002 “Energoefektivitātes paaugstināšana Amatu iela 6, Rīgā”, finansējuma saņēmējs Valsts akciju sabiedrība "Valsts nekustamie īpašumi" (turpmāk - VNĪ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projekts tiek īstenots divās būvdarbu kārtās, proti, I būvdarbu kārta ietver energoefektivitātes paaugstināšanas pasākumus (VNĪ projekts), kas tiek finansēti 1.2.1.4.i. investīcijas ietvaros, savukārt, II būvdarbu kārtā tiek īstenoti pārbūves darbi (projekts Nr. 5.1.1.5/2/24/I/001), kas tiek finansēti Eiropas Savienības kohēzijas politikas programmas 2021.–2027. gadam 5.1.1.5. pasākuma “Unikāla Eiropas mēroga kultūras mantojuma atjaunošana, lai veicinātu to piekļūstamību, attīstot kultūras pakalpojumus” ietvaros. VNĪ projekts tiek īstenots kā stratēģiski svarīgs un prioritārs projekts kultūras nozarē. Pamatojoties uz VNĪ sniegto informāciju, papildus ar CFLA jau noslēgtā līguma ietvaros nepieciešams nodrošināt finansējumu būvdarbu izmaksu indeksācijas segšanai I būvdarbu kārtai. Atbilstoši VNĪ noslēgtā līguma ar būvnieku SIA “RERE Meistari” nosacījumiem līguma cena saistībā ar būvdarbiem var tikt indeksēta saskaņā ar korekcijas izmaksu aprēķiniem un nevar pārsniegt 10% no akceptētās līguma summas. Būvdarbu izmaksu pieaugums ir viens no būtiskākajiem projekta īstenošanas riskiem un projekta budžeta ietvaros tam nav paredzēta rezerve. Precīzu līguma cenas indeksācijai nepieciešamo apjomu šobrīd nav iespējas noteikt. Pēdējā gada vidējais indekss bija robežās starp 2%-3%. Atbilstoši aktuālajai indeksācijai, kas ir 3%, papildus kopējā nepieciešamā finansējuma apjoms projektam indikatīvi ir 148 130 </w:t>
      </w:r>
      <w:r w:rsidR="00000000" w:rsidRPr="00000000" w:rsidDel="00000000">
        <w:rPr>
          <w:i w:val="1"/>
          <w:rtl w:val="0"/>
        </w:rPr>
        <w:t xml:space="preserve">euro. </w:t>
      </w:r>
      <w:r w:rsidR="00000000" w:rsidRPr="00000000" w:rsidDel="00000000">
        <w:rPr>
          <w:rtl w:val="0"/>
        </w:rPr>
        <w:t xml:space="preserve">Finansējuma nepieejamības gadījumā ir risks nodrošināt līguma nosacījumu izpildi pret būvnieku un nesasniegt plānoto projekta un 1.2.1.4.i. investīcijai noteiktos ietaupījuma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Nr. 1.2.1.4.i.0/1/23/I/CFLA/003 “Saules parks pašpatēriņa elektroenerģijas nodrošināšanai LNB”, finansējuma saņēmējs Latvijas Nacionālā bibliotēka (turpmāk -  LNB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LNB projekts tik īstenots Mūkusalas ielā 3 un 5, Rīgā, kur paredzēts izvietot saules paneļus. Teritorija Mūkusalas ielā 5 ir UNESCO Pasaules kultūras mantojuma objekta “Rīgas vēsturiskais centrs” aizsardzības zonā, tādēļ ir jānodrošina vienots konceptuāls risinājums un jāiekļauj tas tuvāk esošajos infrastruktūras un arhitektūras objektos (ēkas, ielas, Mūkusalas ielas promenāde).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Kultūras ministrijas (turpmāk - KM) sniegto informāciju, LNB projektam papildus ir nepieciešams nodrošināt finansējumu būvdarbu izmaksu segšanai, ņemot vērā identificēto sadārdzinājumu. Sākotnēji saules paneļus bija plānots montēt uz skrūvjpāļu pamata, bet, ņemot vērā ēkas atrašanās vietu kā norādīts augstāk, sadārdzinājums radies uz nojumju, uz kuriem tiks izvietoti saules paneļi, to pamatu un metāla konstrukciju izmaksām. Papildus kopējā nepieciešamā finansējuma apjoms projektam indikatīvi ir 1 005 495 </w:t>
      </w:r>
      <w:r w:rsidR="00000000" w:rsidRPr="00000000" w:rsidDel="00000000">
        <w:rPr>
          <w:i w:val="1"/>
          <w:rtl w:val="0"/>
        </w:rPr>
        <w:t xml:space="preserve">euro, </w:t>
      </w:r>
      <w:r w:rsidR="00000000" w:rsidRPr="00000000" w:rsidDel="00000000">
        <w:rPr>
          <w:rtl w:val="0"/>
        </w:rPr>
        <w:t xml:space="preserve">precīza summa būs zināma pēc iesniegto piedāvājumu izvērtēšanas un lēmuma pieņemšanas. Finansējuma nepieejamības gadījumā ir risks nesasniegt plānoto projekta un 1.2.1.4.i. investīcijai noteiktos ietaupījuma rādītājus.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saskaņā ar finansējuma saņēmēja Latvijas Kultūras akadēmija sniegto informāciju, projekta Nr. 1.2.1.4.i.0/1/25/I/CFLA/010 "Energoefektivitātes uzlabošana Latvijas Kultūras akadēmijas Tabakas fabrikas kvartāla ēkās Miera ielā 58a, Rīgā" (turpmāk - LKA projekts) īstenošanā konstatēts risks projekta tehniskās dokumentācijas sagatavošanā, kas attiecīgi ir novirzījusi būvdarbu iepirkuma norisi un būvdarbu uzsākšanu par diviem mēnešiem. Projekta izmaksas identificētas, pamatojoties uz būvekspertu aprēķiniem par līdzvērtīgu darbu veikšanu līdzvērtīgam būvdarbu apjomam, vienlaikus, izstrādājot detalizētu projektēšanas dokumentāciju un atklājot ēkas konstrukciju daļas, kas prasa papildus pārbūves darbu īstenošanu un risinājumus, provizoriski ir paredzams plānoto izmaksu sadārdzinājums. Riska mazināšanai būvdarbus paredzēts veikt tikai vienā no korpusiem (k-5), otra korpusa (k-7) būvniecību īstenojot Eiropas Savienības kohēzijas politikas programmas 2021.–2027. gadam 2.1.1. specifiskā atbalsta mērķa "Energoefektivitātes veicināšana un siltumnīcefekta gāzu emisiju samazināšana" 2.1.1.8. pasākuma "Energoefektivitāti veicinoši pasākumi kultūras infrastruktūrā" ietvaros, vienlaikus nodrošinot LKA projekta iesniegumā plānotā kopējās primārās enerģijas patēriņa samazinājuma un MK noteikumu Nr. 443 pielikumā LKA projektam norādītā kopējās primārās enerģijas ietaupījuma sasniegšanu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konstatēts, ka nepieciešami precizējumi MK noteikumos Nr. 443, pamatojoties uz Finanšu ministrijas (turpmāk - FM) 2025. gada 23. maija vēstulē Nr. 5.1-27/21/1573 “Par Atveseļošanas fonda uzraudzības rādītājiem” sniegto skaidrojumu attiecībā uz Atveseļošanas fonda uzraudzības rādītāju izpildes nodrošināšanu, proti, saskaņā ar Ministru kabineta 2025. gada 29. aprīļa noteikumiem Nr. 259 “Par Atveseļošanas fonda plāna Darbības kārtības otrajiem grozījumiem, par ko vienojas Eiropas Komisija un Latvija” (apstiprināti Eiropas Komisijā (turpmāk - EK) 2025. gada 7. maijā) ir svītrots Darbības kārtības 2. pielikums “Uzraudzības kārtība un grafiks”, līdz ar to Latvijai no EK vairs nav prasību par uzraudzības rādītājiem, tādēļ nacionāli nav pamats turpināt uzraudzības rādītāju datu uzkrāšanu un  uzraudzīšanu.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konstatēts, ka ir nepieciešami precizējumi attiecībā uz to projektu uzraudzību, kuru ietvaros plānots uzstādīt saules paneļus, ievērojot nosacījumu par vismaz 80 % no gadā saražotās enerģijas izmantošanu pašpatēriņam, ieviešot pašdeklarēšanās pieeju.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Savienības (turpmāk - ES) fondu tematiskās komitejas 2025. gada 29. maija (https://www.mk.gov.lv/lv/media/23199/download?attachment) protokola 2. punkta “Atveseļošanas fonda finansējuma ietaupījumu izmantošana” 2.1.2. apakšpunktā (pieejams FM mājas lapā: https://www.mk.gov.lv/lv/eiropas-savienibas-fondu-tematiska-komiteja-0) noteiktajam ir atbalstīta Atveseļošanas fonda ietaupījumu pārdale Ekonomikas ministrijas (turpmāk - EM) īres mājokļu programmai 12 milj. </w:t>
      </w:r>
      <w:r w:rsidR="00000000" w:rsidRPr="00000000" w:rsidDel="00000000">
        <w:rPr>
          <w:i w:val="1"/>
          <w:rtl w:val="0"/>
        </w:rPr>
        <w:t xml:space="preserve">euro</w:t>
      </w:r>
      <w:r w:rsidR="00000000" w:rsidRPr="00000000" w:rsidDel="00000000">
        <w:rPr>
          <w:rtl w:val="0"/>
        </w:rPr>
        <w:t xml:space="preserve"> apmērā 3.1.1.7.i. investīcijai “Aizdevumi nekustamā īpašuma attīstītājiem zemas īres maksas mājokļu būvniecībai”, ko īsteno AS “Attīstības finanšu institūcija Altum”, kā arī potenciāli papildu identificētiem ietaupījumiem 2,3 milj. </w:t>
      </w:r>
      <w:r w:rsidR="00000000" w:rsidRPr="00000000" w:rsidDel="00000000">
        <w:rPr>
          <w:i w:val="1"/>
          <w:rtl w:val="0"/>
        </w:rPr>
        <w:t xml:space="preserve">euro</w:t>
      </w:r>
      <w:r w:rsidR="00000000" w:rsidRPr="00000000" w:rsidDel="00000000">
        <w:rPr>
          <w:rtl w:val="0"/>
        </w:rPr>
        <w:t xml:space="preserve"> apmērā, kurus EM jāizvērtē kopā ar KM 1.2.1.4.i. investīcijai noteikto rādītāju - kopējās primārās enerģijas patēriņa samazinājums un vidēji 1.2.1.4.i. investīcijas ietvaros 30% kopējās primārās enerģijas ietaupījums - sasniegšanas nodrošināšanai līdz 2026.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Izvērtējuma rezultātā secināts, ka 1.2.1.4.i. investīcijas īstenošanas nodrošināšanai un plānoto rādītāju sasniegšanai pilnā apmērā, papildus ir nepieciešams Atveseļošanas fonda finansējums 953 409 </w:t>
      </w:r>
      <w:r w:rsidR="00000000" w:rsidRPr="00000000" w:rsidDel="00000000">
        <w:rPr>
          <w:i w:val="1"/>
          <w:rtl w:val="0"/>
        </w:rPr>
        <w:t xml:space="preserve">euro</w:t>
      </w:r>
      <w:r w:rsidR="00000000" w:rsidRPr="00000000" w:rsidDel="00000000">
        <w:rPr>
          <w:rtl w:val="0"/>
        </w:rPr>
        <w:t xml:space="preserve"> apmērā, ko plānots pārdalīt no 5.1.1.2.i. investīcijas "Atbalsta instruments pētniecībai un internacionalizācijai" (turpmāk - 5.1.1.2.i. investīcija) ietaupījuma 6 964 834 </w:t>
      </w:r>
      <w:r w:rsidR="00000000" w:rsidRPr="00000000" w:rsidDel="00000000">
        <w:rPr>
          <w:i w:val="1"/>
          <w:rtl w:val="0"/>
        </w:rPr>
        <w:t xml:space="preserve">euro</w:t>
      </w:r>
      <w:r w:rsidR="00000000" w:rsidRPr="00000000" w:rsidDel="00000000">
        <w:rPr>
          <w:rtl w:val="0"/>
        </w:rPr>
        <w:t xml:space="preserve"> apmērā un papildus tiks pieprasīts valsts budžeta finansējums 200 216 </w:t>
      </w:r>
      <w:r w:rsidR="00000000" w:rsidRPr="00000000" w:rsidDel="00000000">
        <w:rPr>
          <w:i w:val="1"/>
          <w:rtl w:val="0"/>
        </w:rPr>
        <w:t xml:space="preserve">euro </w:t>
      </w:r>
      <w:r w:rsidR="00000000" w:rsidRPr="00000000" w:rsidDel="00000000">
        <w:rPr>
          <w:rtl w:val="0"/>
        </w:rPr>
        <w:t xml:space="preserve">apmērā pievienotās vērtības nodokļa segšanai. Kopā papildus nepieciešamais finansējums 1.2.1.4.i. investīcijai ir 1 153 625</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veikt šādus grozījumus MK noteikumos Nr. 443: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 nosacījumus attiecībā uz uzraudzības rādītāju, attiecīgi tiek svītrots 5.2. apakšpunkts, veikti precizējumi 42. un 55. punktā, 41.6. un 54.1.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kopējā finansējuma apmēru un sadalījumu starp Atveseļošanas fonda finansējumu un valsts budžeta finansējumu 1.2.1.4.i. investīcijai, attiecīgi tiek precizēts 7. punkts un pielikums. Vienlaikus pielikumā trīs pabeigtajiem projektiem (Nr. 4 līdz Nr. 6 pielikumā) tiek norādīts finansējums atbilstoši faktiskajiem datiem Kohēzijas politikas fondu vadības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Skaidri nodalīt projektu uzraudzības funkcijas projekta dzīves ciklā, tādēļ tiek precizēts 59. punkts nosakot, ka KM uzrauga vai tiek izpildīts MK noteikumu Nr. 443 56.1. un 56.2. ​apakšpunktā minētais nosacījums attiecībā uz ieņēmumu slieksni no finansējuma saņēmēju saimnieciskās darbības un kultūras pakalpojumu sniegšanas ēkā procentuālo slieksni, un par tā izpildi rakstiski informē CFLA, kā arī noteikumu projekts tiek papildināts ar jaunu 59.</w:t>
      </w:r>
      <w:r w:rsidR="00000000" w:rsidRPr="00000000" w:rsidDel="00000000">
        <w:rPr>
          <w:vertAlign w:val="superscript"/>
          <w:rtl w:val="0"/>
        </w:rPr>
        <w:t xml:space="preserve">2</w:t>
      </w:r>
      <w:r w:rsidR="00000000" w:rsidRPr="00000000" w:rsidDel="00000000">
        <w:rPr>
          <w:rtl w:val="0"/>
        </w:rPr>
        <w:t xml:space="preserve"> punktu, ar kuru tiek ieviests pašdeklarēšanās princips, proti, finansējuma saņēmējs CFLA iesniedz informāciju tad, kad tas ir konstatējis, ka projekts neatbilst MK noteikumu Nr. 443 56.</w:t>
      </w:r>
      <w:r w:rsidR="00000000" w:rsidRPr="00000000" w:rsidDel="00000000">
        <w:rPr>
          <w:vertAlign w:val="superscript"/>
          <w:rtl w:val="0"/>
        </w:rPr>
        <w:t xml:space="preserve">1</w:t>
      </w:r>
      <w:r w:rsidR="00000000" w:rsidRPr="00000000" w:rsidDel="00000000">
        <w:rPr>
          <w:rtl w:val="0"/>
        </w:rPr>
        <w:t xml:space="preserve"> punktā un 56.3. apakšpunktā minētajiem nosacījumiem attiecībā uz saražotās enerģijas izmantošanas pašpatēriņam slieksni. Nosacījums attiecināms tikai uz tiem projektiem, kuru ietvaros plānots uzstādīt saules paneļus.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Novirzot papildus finansējumu, tiks mazināts risks līdz 2026.gada 30. jūnijam projektu īstenošanas rezultātā nesasniegt kopējās primārās enerģijas patēriņa samazinājumu valsts ēkās ar uzlabotu energoefektivitāti vismaz 3875 MWh gadā, kā arī projektu īstenošanas rezultātā vidēji investīcijas ietvaros nesasniegt 30 % kopējās primārās enerģijas ietaupījuma ar vidēju restaurācijas, pārbūves vai atjaunošanas pamatīguma pakāpi ēkai (ēku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paredzētie grozījumi nepasliktina situāciju, bet nodrošina projektu īstenošanu 1.2.1.4.i. investīcijas mērķa sasniegšanai un iespējamās negatīvās ietekmes uz valsts budžetu mazināšanai gadījumā, ja netiek sasniegti plānotie rādītāji un no EK tiek piemērotas sankcijas. Pēc noteikumu projekta spēkā stāšanās finansējuma saņēmēji veiks attiecīgus grozījumus līgumos vai vienošanās ar CFLA.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ēku īpašnieki un lietotāji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neparedz ietekmi uz administratīvo slogu un tautsaimniecību.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identificēts administratīvā sloga palielinājums ne finansējuma saņēmējiem, ne AF vadībā iesaistītajām institūcijām.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476 705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476 704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576 813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576 812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Pārdalāmā AF finansējuma apmērs noteikts, pamatojoties uz ES fondu tematiskās komitejas 2025. gada 29. maija protokola 2.1.2.apakšpunktu attiecībā uz finansējuma ietaupījumiem citās AF investīcijās.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Kopējais attiecināmais finansējums 1.2.1.4.i. investīcijai ir 28 735 222 </w:t>
            </w:r>
            <w:r w:rsidR="00000000" w:rsidRPr="00000000" w:rsidDel="00000000">
              <w:rPr>
                <w:sz w:val="24"/>
                <w:i w:val="1"/>
                <w:rtl w:val="0"/>
              </w:rPr>
              <w:t xml:space="preserve">euro</w:t>
            </w:r>
            <w:r w:rsidR="00000000" w:rsidRPr="00000000" w:rsidDel="00000000">
              <w:rPr>
                <w:sz w:val="24"/>
                <w:rtl w:val="0"/>
              </w:rPr>
              <w:t xml:space="preserve">, tai skaitā AF finansējums 23 956 000 </w:t>
            </w:r>
            <w:r w:rsidR="00000000" w:rsidRPr="00000000" w:rsidDel="00000000">
              <w:rPr>
                <w:sz w:val="24"/>
                <w:i w:val="1"/>
                <w:rtl w:val="0"/>
              </w:rPr>
              <w:t xml:space="preserve">euro </w:t>
            </w:r>
            <w:r w:rsidR="00000000" w:rsidRPr="00000000" w:rsidDel="00000000">
              <w:rPr>
                <w:sz w:val="24"/>
                <w:rtl w:val="0"/>
              </w:rPr>
              <w:t xml:space="preserve">un valsts budžeta finansējums pievienotās vērtības nodokļa segšanai – ne vairāk kā 4 779 222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attiecināmais finansējums 1.2.1.4.i. investīcijai paredzēts 1 153 625 </w:t>
            </w:r>
            <w:r w:rsidR="00000000" w:rsidRPr="00000000" w:rsidDel="00000000">
              <w:rPr>
                <w:sz w:val="24"/>
                <w:i w:val="1"/>
                <w:rtl w:val="0"/>
              </w:rPr>
              <w:t xml:space="preserve">euro</w:t>
            </w:r>
            <w:r w:rsidR="00000000" w:rsidRPr="00000000" w:rsidDel="00000000">
              <w:rPr>
                <w:sz w:val="24"/>
                <w:rtl w:val="0"/>
              </w:rPr>
              <w:t xml:space="preserve"> apmērā, tai skaitā AF finansējums 953 409 </w:t>
            </w:r>
            <w:r w:rsidR="00000000" w:rsidRPr="00000000" w:rsidDel="00000000">
              <w:rPr>
                <w:sz w:val="24"/>
                <w:i w:val="1"/>
                <w:rtl w:val="0"/>
              </w:rPr>
              <w:t xml:space="preserve">euro</w:t>
            </w:r>
            <w:r w:rsidR="00000000" w:rsidRPr="00000000" w:rsidDel="00000000">
              <w:rPr>
                <w:sz w:val="24"/>
                <w:rtl w:val="0"/>
              </w:rPr>
              <w:t xml:space="preserve"> un valsts budžeta finansējums pievienotās vērtības nodokļa segšanai 200 216 </w:t>
            </w:r>
            <w:r w:rsidR="00000000" w:rsidRPr="00000000" w:rsidDel="00000000">
              <w:rPr>
                <w:sz w:val="24"/>
                <w:i w:val="1"/>
                <w:rtl w:val="0"/>
              </w:rPr>
              <w:t xml:space="preserve">euro </w:t>
            </w:r>
            <w:r w:rsidR="00000000" w:rsidRPr="00000000" w:rsidDel="00000000">
              <w:rPr>
                <w:sz w:val="24"/>
                <w:rtl w:val="0"/>
              </w:rPr>
              <w:t xml:space="preserve">jeb 2025. gadam papildus AF finansējums 476 705 </w:t>
            </w:r>
            <w:r w:rsidR="00000000" w:rsidRPr="00000000" w:rsidDel="00000000">
              <w:rPr>
                <w:sz w:val="24"/>
                <w:i w:val="1"/>
                <w:rtl w:val="0"/>
              </w:rPr>
              <w:t xml:space="preserve">euro </w:t>
            </w:r>
            <w:r w:rsidR="00000000" w:rsidRPr="00000000" w:rsidDel="00000000">
              <w:rPr>
                <w:sz w:val="24"/>
                <w:rtl w:val="0"/>
              </w:rPr>
              <w:t xml:space="preserve">un valsts budžeta finansējums</w:t>
            </w:r>
            <w:r w:rsidR="00000000" w:rsidRPr="00000000" w:rsidDel="00000000">
              <w:rPr>
                <w:sz w:val="24"/>
                <w:i w:val="1"/>
                <w:rtl w:val="0"/>
              </w:rPr>
              <w:t xml:space="preserve"> </w:t>
            </w:r>
            <w:r w:rsidR="00000000" w:rsidRPr="00000000" w:rsidDel="00000000">
              <w:rPr>
                <w:sz w:val="24"/>
                <w:rtl w:val="0"/>
              </w:rPr>
              <w:t xml:space="preserve">100 108</w:t>
            </w:r>
            <w:r w:rsidR="00000000" w:rsidRPr="00000000" w:rsidDel="00000000">
              <w:rPr>
                <w:sz w:val="24"/>
                <w:i w:val="1"/>
                <w:rtl w:val="0"/>
              </w:rPr>
              <w:t xml:space="preserve"> euro </w:t>
            </w:r>
            <w:r w:rsidR="00000000" w:rsidRPr="00000000" w:rsidDel="00000000">
              <w:rPr>
                <w:sz w:val="24"/>
                <w:rtl w:val="0"/>
              </w:rPr>
              <w:t xml:space="preserve">un</w:t>
            </w:r>
            <w:r w:rsidR="00000000" w:rsidRPr="00000000" w:rsidDel="00000000">
              <w:rPr>
                <w:sz w:val="24"/>
                <w:i w:val="1"/>
                <w:rtl w:val="0"/>
              </w:rPr>
              <w:t xml:space="preserve"> </w:t>
            </w:r>
            <w:r w:rsidR="00000000" w:rsidRPr="00000000" w:rsidDel="00000000">
              <w:rPr>
                <w:sz w:val="24"/>
                <w:rtl w:val="0"/>
              </w:rPr>
              <w:t xml:space="preserve">2026. gadam  AF finansējums 476 704 </w:t>
            </w:r>
            <w:r w:rsidR="00000000" w:rsidRPr="00000000" w:rsidDel="00000000">
              <w:rPr>
                <w:sz w:val="24"/>
                <w:i w:val="1"/>
                <w:rtl w:val="0"/>
              </w:rPr>
              <w:t xml:space="preserve">euro</w:t>
            </w:r>
            <w:r w:rsidR="00000000" w:rsidRPr="00000000" w:rsidDel="00000000">
              <w:rPr>
                <w:sz w:val="24"/>
                <w:rtl w:val="0"/>
              </w:rPr>
              <w:t xml:space="preserve"> un valsts budžeta finansējums 100 108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1.2.1.4.i. investīcijas izdevumu attiecināmības termiņš ir līdz 2026. gada 30. jūnijam.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2025. gadā pieprasīs nepieciešamo finansējumu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AF finansējums 953 409 </w:t>
      </w:r>
      <w:r w:rsidR="00000000" w:rsidRPr="00000000" w:rsidDel="00000000">
        <w:rPr>
          <w:i w:val="1"/>
          <w:rtl w:val="0"/>
        </w:rPr>
        <w:t xml:space="preserve">euro</w:t>
      </w:r>
      <w:r w:rsidR="00000000" w:rsidRPr="00000000" w:rsidDel="00000000">
        <w:rPr>
          <w:rtl w:val="0"/>
        </w:rPr>
        <w:t xml:space="preserve"> tiks pārdalīts no 5.1.1.2.i. investīcijas "Atbalsta instruments pētniecībai un internacionalizācijai" ietaupījuma 6 964 834 </w:t>
      </w:r>
      <w:r w:rsidR="00000000" w:rsidRPr="00000000" w:rsidDel="00000000">
        <w:rPr>
          <w:i w:val="1"/>
          <w:rtl w:val="0"/>
        </w:rPr>
        <w:t xml:space="preserve">euro</w:t>
      </w:r>
      <w:r w:rsidR="00000000" w:rsidRPr="00000000" w:rsidDel="00000000">
        <w:rPr>
          <w:rtl w:val="0"/>
        </w:rPr>
        <w:t xml:space="preserve"> apmērā un papildus tiks pieprasīts valsts budžeta finansējums 200 216 </w:t>
      </w:r>
      <w:r w:rsidR="00000000" w:rsidRPr="00000000" w:rsidDel="00000000">
        <w:rPr>
          <w:i w:val="1"/>
          <w:rtl w:val="0"/>
        </w:rPr>
        <w:t xml:space="preserve">euro</w:t>
      </w:r>
      <w:r w:rsidR="00000000" w:rsidRPr="00000000" w:rsidDel="00000000">
        <w:rPr>
          <w:rtl w:val="0"/>
        </w:rPr>
        <w:t xml:space="preserve"> apmērā pievienotās vērtības nodokļa segšanai.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20. februāra noteikumi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(turpmāk - MK noteikumi Nr. 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MK noteikumos Nr. 116 attiecībā uz Atveseļošanas fonda finansējuma atlikuma 6 964 834 </w:t>
      </w:r>
      <w:r w:rsidR="00000000" w:rsidRPr="00000000" w:rsidDel="00000000">
        <w:rPr>
          <w:i w:val="1"/>
          <w:rtl w:val="0"/>
        </w:rPr>
        <w:t xml:space="preserve">euro</w:t>
      </w:r>
      <w:r w:rsidR="00000000" w:rsidRPr="00000000" w:rsidDel="00000000">
        <w:rPr>
          <w:rtl w:val="0"/>
        </w:rPr>
        <w:t xml:space="preserve"> apmērā pārdalēm citām Ekonomikas ministrijas kā par Atveseļošanas fonda investīciju ieviešanu atbildīgā nozares ministrijas investīcijām, kurās ir nepieciešams papildus finansējums, ir izstrādē. 5.1.1.2.i. investīcijas ceturtajai kārtai gala finansējuma apmērs pēc pārdalēm paredzēts 24 035 166 </w:t>
      </w:r>
      <w:r w:rsidR="00000000" w:rsidRPr="00000000" w:rsidDel="00000000">
        <w:rPr>
          <w:i w:val="1"/>
          <w:rtl w:val="0"/>
        </w:rPr>
        <w:t xml:space="preserve">euro</w:t>
      </w:r>
      <w:r w:rsidR="00000000" w:rsidRPr="00000000" w:rsidDel="00000000">
        <w:rPr>
          <w:rtl w:val="0"/>
        </w:rPr>
        <w:t xml:space="preserve"> apmērā. Ņemot vērā, ka noteikumu projekts par papildus finansējuma nepieciešamību 1.2.1.4.i. investīcijai tiek virzīts steidzamības kārtā, vienlaikus netiek virzīti grozījumi MK noteikumos Nr. 116.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netiek veiktas izmaiņas, kas attiecas uz Komisijas Deleģētā regulas  (ES) 2021/2106 (2021. gada 28. septembris), ar kuru, nosakot atveseļošanas un noturības rezultātu pārskata kopējos rādītājus un detalizētos elementus, papildina Eiropas Parlamenta un Padomes Regulu (ES) 2021/241, ar ko izveido Atveseļošanas un noturības mehānismu, pielikumu.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plānota, jo noteikumu projekts izstrādāts, pamatojoties uz ES fondu tematiskās komitejas 2025. gada 29. maija protokola 2.1.2.apakšpunktu, kas paredz AF ietaupījumu pārdalīt EM īres mājokļu programmai 12 milj. </w:t>
      </w:r>
      <w:r w:rsidR="00000000" w:rsidRPr="00000000" w:rsidDel="00000000">
        <w:rPr>
          <w:i w:val="1"/>
          <w:rtl w:val="0"/>
        </w:rPr>
        <w:t xml:space="preserve">euro</w:t>
      </w:r>
      <w:r w:rsidR="00000000" w:rsidRPr="00000000" w:rsidDel="00000000">
        <w:rPr>
          <w:rtl w:val="0"/>
        </w:rPr>
        <w:t xml:space="preserve"> apmērā 3.1.1.7.i. investīcijai “Aizdevumi nekustamā īpašuma attīstītājiem zemas īres maksas mājokļu būvniecībai”, ko īsteno AS “Attīstības finanšu institūcija Altum”, kā arī potenciāli papildu identificētiem ietaupījumiem 2,3 milj. </w:t>
      </w:r>
      <w:r w:rsidR="00000000" w:rsidRPr="00000000" w:rsidDel="00000000">
        <w:rPr>
          <w:i w:val="1"/>
          <w:rtl w:val="0"/>
        </w:rPr>
        <w:t xml:space="preserve">euro</w:t>
      </w:r>
      <w:r w:rsidR="00000000" w:rsidRPr="00000000" w:rsidDel="00000000">
        <w:rPr>
          <w:rtl w:val="0"/>
        </w:rPr>
        <w:t xml:space="preserve"> apmērā, kurus EM jāizvērtē kopā ar KM 1.2.1.4.i. investīcijai noteikto rādītāju - kopējās primārās enerģijas patēriņa samazinājums un vidēji 1.2.1.4.i. investīcijas ietvaros 30% kopējās primārās enerģijas ietaupījums - sasniegšanas nodrošināšanai līdz 2026. gada 30. jūnijam.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1.2.1.4.i. investīciju tiks sekmēta viena no Nacionālā attīstības plāna mērķu izpildēm: uzlabota valsts sektora ēku energoefektivitāte, tādējādi samazinot ikgadējo  kopējās primārās enerģijas patēriņu un, sniedzot enerģijas ietaupījumu un siltumnīcefekta gāzu (SEG) emisiju samazinājumu.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jūnijam projektu īstenošanas rezultātā sasniegts kopējās primārās enerģijas patēriņa samazinājums valsts ēkās ar uzlabotu energoefektivitāti vismaz 3875 MWh 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25-TA-1742</w:t>
    </w:r>
    <w:r>
      <w:br/>
    </w:r>
    <w:r w:rsidR="00000000" w:rsidRPr="00000000" w:rsidDel="00000000">
      <w:rPr>
        <w:rtl w:val="0"/>
      </w:rPr>
      <w:t xml:space="preserve">Izdrukāts 29.07.2026. 23.59 - 3.0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25-TA-1742</w:t>
    </w:r>
    <w:r>
      <w:br/>
    </w:r>
    <w:r w:rsidR="00000000" w:rsidRPr="00000000" w:rsidDel="00000000">
      <w:rPr>
        <w:rtl w:val="0"/>
      </w:rPr>
      <w:t xml:space="preserve">Izdrukāts 29.07.2026. 23.59 - 3.0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anotācija_(ex_ante)_25-TA-1742.docx</dc:title>
</cp:coreProperties>
</file>

<file path=docProps/custom.xml><?xml version="1.0" encoding="utf-8"?>
<Properties xmlns="http://schemas.openxmlformats.org/officeDocument/2006/custom-properties" xmlns:vt="http://schemas.openxmlformats.org/officeDocument/2006/docPropsVTypes"/>
</file>