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30. aprīļa noteikumos Nr. 273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otrās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projekts izstrādāts pamatojoties uz Eiropas Savienības fondu 2021.—2027. gada plānošanas perioda vadības likuma 19. panta 13. punktu, lai nodrošinātu sekmīgu un savlaicīgu Eiropas Savienības fondu līdzekļu apguvi un Eiropas Savienības kohēzijas politikas programmas 2021.–2027. gadam kopējā mērķa un iznākumu rādītāju sasniegšanu Eiropas Savienības fondu 2021. - 2027. gada plānošanas perioda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efektīvu un kvalitatīvu 4.1.1.1. pasākuma "Ārstniecības iestāžu infrastruktūras attīstība" otrās kārtas īstenošanu, kā arī administratīvā sloga mazināšanu.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2022. gada 25. novembrī apstiprināja Latvijas izstrādāto Eiropas Savienības kohēzijas politikas programmu 2021.-2027. gadam (turpmāk – Programma), nosakot, ka 4.1.1. specifiskā atbalsta mērķa "Nodrošināt vienlīdzīgu piekļuvi veselības aprūpei un stiprināt veselības sistēmu, tostarp primārās veselības aprūpes noturību" ietvaros veselības aprūpei būtiska nozīme ir veselības sistēmas stiprināšanā, veselības aprūpes pieejamības un kvalitātes uzlabošanā, attīstot visaptverošu un integrētu veselības sistēmu un paredzot ieguldījumus ārstniecības iestāžu attīstībai visos aprūpes līmeņos, atbilstoši pakalpojumu kartējumam, veselības aprūpes pakalpojumu attīstībai pieejamiem cilvēkresursiem un finanšu resursiem, t.sk. nodrošinot ārstniecības iestāžu gatavību potenciālo sabiedrības veselības krīžu ierobežošanai.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Ministru kabineta 2024. gada 30. aprīļa noteikumos Nr. 273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otrās kārtas īstenošanas noteikumi" (turpmāk - MK noteikumi Nr. 273) noteikta kārtība, kādā tiek īstenota Programmas 4.1.1. specifiskā atbalsta mērķa "Nodrošināt vienlīdzīgu piekļuvi veselības aprūpei un stiprināt veselības sistēmu, tostarp primārās veselības aprūpes noturību" 4.1.1.1. pasākuma "Ārstniecības iestāžu infrastruktūras attīstība" otrā kārta.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kārtas ietvaros plānotais un pieejamais kopējais finansējums ir  15 089 807 </w:t>
      </w:r>
      <w:r w:rsidR="00000000" w:rsidRPr="00000000" w:rsidDel="00000000">
        <w:rPr>
          <w:i w:val="1"/>
          <w:rtl w:val="0"/>
        </w:rPr>
        <w:t xml:space="preserve">euro</w:t>
      </w:r>
      <w:r w:rsidR="00000000" w:rsidRPr="00000000" w:rsidDel="00000000">
        <w:rPr>
          <w:rtl w:val="0"/>
        </w:rPr>
        <w:t xml:space="preserve">, tai skaitā Eiropas Reģionālās attīstības fonda finansējums ir 12 826 335</w:t>
      </w:r>
      <w:r w:rsidR="00000000" w:rsidRPr="00000000" w:rsidDel="00000000">
        <w:rPr>
          <w:i w:val="1"/>
          <w:rtl w:val="0"/>
        </w:rPr>
        <w:t xml:space="preserve"> euro</w:t>
      </w:r>
      <w:r w:rsidR="00000000" w:rsidRPr="00000000" w:rsidDel="00000000">
        <w:rPr>
          <w:rtl w:val="0"/>
        </w:rPr>
        <w:t xml:space="preserve"> un nacionālais līdzfinansējums, kas iekļauj valsts budžeta un privāto līdzfinansējumu ir 2 263 472</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273 29. punktā noteikts, ja personāla iesaisti projektā nodrošina saskaņā ar daļlaika attiecināmības principu (attiecināms, ja izmaksas radušās uz darba līguma pamata), attiecināma ir ne mazāka kā 30 procentu noslodze. 4.1.1.1. pasākuma otrās kārtas projektu īstenošanā atsevišķs piesaistītais personāls to realizēšanā iesaistās fragmentāri ar nelielu noslodzi, līdz ar to atsevišķa projekta vadībā iesaistītā personāla noslodze vismaz 30 procentu apmērā ir apgrūtinoša.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273 41. punktā noteikts, ka finansējuma saņēmējs infrastruktūras izmantošanas proporcijas aprēķinu iesniedz Centrālajā finanšu un līgumu aģentūrā kā sadarbības iestādē (turpmāk – sadarbības iestāde) ne tikai iesniedzot projekta iesniegumu, bet arī iesniedzot noslēguma maksājuma pieprasījumu. Minētais nosacījumus veido papildus administratīvo slogu gan finansējuma saņēmējam, gan sadarbības iestādei. Savukārt Valdības rīcības plāna[1] deklarācijas uzdevumā "Mazināsim birokrātiju un valsts pārvaldi padarīsim elastīgāku, vairāk uzticēsimies uzņēmēju, iedzīvotāju un pašvaldību spējai vadīties pēc pašdeklarācijas principa un dosim iespēju veidot standartizāciju nozarēs" ir iekļauts pasākums Nr. 35.4. "Lai mazinātu administratīvu birokrātiju un pilnveidotu risku pārvaldību ESIF projektu ieviešanā, izvērtēta efektīva un vienlaikus no drošas finanšu vadības viedokļa līdzsvarota pašdeklarācijas principa ieviešana ESIF projektu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izvērtējot Veselības ministrijas pārraudzībā esošos Eiropas Savienības struktūrfondu 2021.–2027. gada plānošanas perioda specifiskos atbalsta mērķus, lai izpildītu Valdības rīcības plānā norādīto uzdevumu, ar 2025. gada 22. maija vēstuli Nr. 39-2-8/2597 "Par pašdeklarācijas principa iniciatīvu" ir ierosinājusi cita starpā ieviest pašdeklarācijas principu pasākuma 4.1.1.1. otrās kārtas īstenoto projektu uzraudzībā, tas ir finansējuma saņēmējs aprēķina un uzkrāj infrastruktūras izmantošanas proporcijas datus un nodrošina datu un pamatojošo dokumentu pieejamību uzraudzībai. Minētās izmaiņas ne tikai samazinātu birokrātisko slogu un projektu ikgadēju uzraudzību, bet arī demonstrētu uzticēšanās pieaugumu finansējuma saņēmēju saimniecisko darbību aktivitātēm. Ieviešot padeklarēšanas principu, tas nerada ietekmi uz projekta izmaksu attiecināmību. Vienlaikus tas nenoņem atbildību finansējuma saņēmējam – atbilstoši normatīvajam regulējumam tā ir tieša finansējuma saņēmēja atbildība uzkrāt, uzturēt un pēc pieprasījuma nodrošināt sadarbības iestādei piekļuvi visiem attiecīgajiem datiem un pamatojošajiem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https://likumi.lv/ta/id/349266-par-valdibas-ricibas-planu-deklaracijas-par-evikas-silinas-vadita-ministru-kabineta-iecereto-darbibu-istenosanai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273 grozījumi paredz dzēst nosacījumu, ka, ja personāla iesaisti projektā nodrošina saskaņā ar daļlaika attiecināmības principu (attiecināms, ja izmaksas radušās uz darba līguma pamata), attiecināma ir ne mazāka kā 30 procentu noslodze. Minētās izmaiņas veiktas saskaņā ar Vadlīnijas attiecināmo izmaksu noteikšanai Eiropas Savienības kohēzijas politikas programmas 2021. – 2027. gada plānošanas periodā aktuālo redakciju. Tāpat, izvērtējot visas izmaksu pozīcijas un nosacījumus MK noteikumos Nr. 273, kurus ietekmē izmaiņas minētajās vadlīnijās, ir secināts, ka citas izmaiņas vadlīnijās MK noteikumos Nr. 273 iekļautajiem nosacījumiem nav saistošas. Papildus ir izvērtēta MK noteikumu Nr. 273 grozījumu ietekme uz jau esošajiem projektiem, nosakot, ka minētās izmaiņas personāla iesaistē stājas spēkā ar MK noteikumu Nr. 273 grozījumu spēkā stāšanās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birokrātisko slogu pasākuma 4.1.1.1. otrās kārtas projektu infrastruktūras amortizācijas uzraudzības periodā, ar noteikumu projektu tiek ieviests pašdeklarācijas princips. Noteikumu projektā iekļautais pašdeklarācijas princips paredz, ka finansējuma saņēmējs aprēķina infrastruktūras izmantošanas proporcijas aprēķinu un iesniedz to sadarbības iestādē iesniedzot projekta iesniegumu. Savukārt projekta īstenošanas laikā un pēcuzraudzības periodā uzkrāj infrastruktūras izmantošanas proporcijas datus un nodrošina datu un pamatojošo dokumentu pieejamību uzraudzībai. Finansējuma saņēmējam grozījumi īstenošanā esošajos projektos saistībā ar šīm MK noteikumu normu izmaiņām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sadarbības iestāde informēs 4.1.1.1. pasākuma otrās kārtas projektu finansējuma saņēmējus par izmaiņām infrastruktūras izmantošanas proporcijas aprēķina iesniegšanas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administratīvā sloga samazināšanas pasākumus, kas nosaka, ka vairs nav nepieciešams iesniegt sadarbības iestādei Nacionālā veselības dienesta kā pilnvarojuma uzlicēja apliecinājumu par pārkompensācijas kontroli, no MK noteikumiem dzēsts 15. punkts. Saistībā ar šīm MK noteikumu normu izmaiņām finansējuma saņēmējam būs nepieciešams veikt grozījumus līgumā par projektu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Vadlīniju attiecināmo izmaksu noteikšanai Eiropas Savienības Kohēzijas politikas programmas 2021.-2027.gada plānošanas periodā [2] 19.punktā noteiktajam precizēts MK noteikumu 31. punkts </w:t>
      </w:r>
      <w:r w:rsidR="00000000" w:rsidRPr="00000000" w:rsidDel="00000000">
        <w:rPr>
          <w:i w:val="1"/>
          <w:rtl w:val="0"/>
        </w:rPr>
        <w:t xml:space="preserve">(būvniecības ieceres dokumentācijas un arhitektoniski mākslinieciskās izpētes izstrādes izmaksas, funkcionālā plānojuma un tehniskās specifikācijas izstrādes izmaksas, būvprojekta minimālā sastāvā un būvprojekta izstrādes izmaksas, projekta ekspertīžu izmaksas, autoruzraudzības un būvuzraudzības izmaksas, vides un informācijas piekļūstamības ekspertu konsultāciju un būvniecības jomu regulējošos normatīvajos aktos noteiktās attiecīgo būvspeciālistu obligātās apdrošināšanas izmaksas nepārsniedz 10 procentus no projekta kopējām attiecināmajām izmaksām)</w:t>
      </w:r>
      <w:r w:rsidR="00000000" w:rsidRPr="00000000" w:rsidDel="00000000">
        <w:rPr>
          <w:rtl w:val="0"/>
        </w:rPr>
        <w:t xml:space="preserve"> un 35.punkts </w:t>
      </w:r>
      <w:r w:rsidR="00000000" w:rsidRPr="00000000" w:rsidDel="00000000">
        <w:rPr>
          <w:i w:val="1"/>
          <w:rtl w:val="0"/>
        </w:rPr>
        <w:t xml:space="preserve">(neparedzētās izmaksas līdz diviem procentiem no projekta kopējām tiešajām attiecināmajām izmaksām)</w:t>
      </w:r>
      <w:r w:rsidR="00000000" w:rsidRPr="00000000" w:rsidDel="00000000">
        <w:rPr>
          <w:rtl w:val="0"/>
        </w:rPr>
        <w:t xml:space="preserve"> nosakot, ka minētajos punktos noteiktais procentuālais ierobežojums tiek aprēķināts attiecībā pret projekta plānotajām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precizēta MK noteikumu projekta 44.9.apakšpunkta redakcija precizējot, ka iepirkumus, kuri nepieciešami atbalstāmo darbību īstenošanai, finansējuma saņēmējs</w:t>
      </w:r>
      <w:r w:rsidR="00000000" w:rsidRPr="00000000" w:rsidDel="00000000">
        <w:rPr>
          <w:i w:val="1"/>
          <w:rtl w:val="0"/>
        </w:rPr>
        <w:t xml:space="preserve"> atbilstoši iespējām</w:t>
      </w:r>
      <w:r w:rsidR="00000000" w:rsidRPr="00000000" w:rsidDel="00000000">
        <w:rPr>
          <w:rtl w:val="0"/>
        </w:rPr>
        <w:t xml:space="preserve"> veic sociāli atbildīgā veidā.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2025. gada 16. decembrī Eiropas Komisijas Konkurences ģenerāldirektorāts ir pieņēmis Komisijas Lēmumu (ES)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(turpmāk – jaunais VTNP lēmums), kas aizstās Komisijas Lēmumu 2012/21/ES (2011.gada 20.decembris) par Līguma par Eiropas Savienības darbību 106.panta 2.punkta piemērošanu valsts atbalstam attiecībā uz kompensāciju par sabiedriskajiem pakalpojumiem dažiem uzņēmumiem, kuriem uzticēts sniegt pakalpojumus ar vispārēju tautsaimniecisku nozīmi (turpmāk – vecais VTNP lēmums). Jaunais VTNP lēmums ir stājies spēkā ar 2026. gada 8. janvāri. Vienlaikus jaunajā VTNP lēmumā ir noteikts, ka visas atbalsta programmas, kas stājās spēkā pirms tā spēkā stāšanās un kas bija saderīgas ar iekšējo tirgu un atbrīvotas no paziņošanas prasības saskaņā ar veco VTNP lēmumu, arī turpmāk ir saderīgas ar iekšējo tirgu un atbrīvotas no paziņošanas prasības vēl divu gadu laikposmā pēc šā lēmuma stāšanās spēkā. Ņemot vērā minēto, komercdarbības atbalstu pasākuma ietvaros saskaņā ar veco VTNP lēmumu var saņemt arī subjekti, kam noslēgts pilnvarojuma akts ar jauno VTNP lēmumu, ievērojot noteikumos ietvertos atbalsta nosacījumus un nosacījumus, kas izriet no vecā VTNP lēmuma, un atsauces neesamība pilnvarojuma aktā uz veco VTNP lēmumu nav šķērslis, lai piešķirtu atbalstu saskaņā ar veco VTNP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https://www.esfondi.lv/normativie-akti-un-dokumenti/2021-2027-planosanas-periods/vadlinijas-attiecinamo-izmaksu-noteiksanai-eiropas-savienibas-kohezijas-politikas-programmas-2021-2027-gada-planosanas-perioda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samazinājums attiecas uz ārstniecības iestādēm. Saskaņā ar MK noteikumu Nr. 273 grozījumiem, kas paredz dzēst 15. punktu, turpmāk ārstniecības iestādēm nebūs jāpieprasa no Nacionālā veselības dienesta vispārējas tautsaimnieciskas nozīmes pakalpojuma sniegšanas pilnvarojuma uzlicēja apliecinājumu, ka tas kontrolēs un pārskatīs vispārējas tautsaimnieciskas nozīmes pakalpojuma sniegšanas deleģēšanas līgumā paredzētos atlīdzības (kompensācijas) maksājumus, kā arī novērsīs un atgūs deleģēšanas līgumā paredzēto atlīdzības (kompensācijas) maksājumu pārmaksu regulāri, bet ne retāk kā reizi trijos gados un pilnvarojuma akta darbības perioda beigās veicot līgumā noteiktās pārbaudes. Papildus turpmāk saskaņā ar MK noteikumu Nr. 273 grozījumu 41. punktu ārstniecības iestādēm sniedzot Centrālajai finanšu un līgumu aģentūrai kā sadarbības iestādei noslēguma maksājuma pieprasījumam vairs nebūs jāpievieno infrastruktūras izmantošanas proporcijas aprēķins. Vienlaikus MK noteikumu Nr. 273 grozījumi paredz, ka ārstniecības iestādes uzkrāj datus un aktualizē infrastruktūras izmantošanas proporcijas aprēķinu, to iesniedzot pēc Centrālās finanšu un līgumu aģentūras pieprasījuma.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Ārstniecības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11,35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euro/stunda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iestāde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biežums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-4 540,00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samazinājums attiecas uz ārstniecības iestādēm.
1) Saskaņā ar MK noteikumu Nr. 273 grozījumiem, kas paredz precizēt 29.punkta redakciju, tiek dzēsts nosacījums par minimālo 30% personāla noslodzi.
2) Saskaņā ar MK noteikumu Nr. 273 grozījumiem, kas paredz dzēst 15.punktu, turpmāk ārstniecības iestādēm nebūs jāpieprasa no Nacionālā veselības dienesta (turpmāk - NVD) vispārējas tautsaimnieciskas nozīmes pakalpojuma (turpmāk - VTNP) sniegšanas pilnvarojuma uzlicēja apliecinājumu, ka tas kontrolēs un pārskatīs VTNP sniegšanas deleģēšanas līgumā paredzētos atlīdzības (kompensācijas) maksājumus, kā arī novērsīs un atgūs deleģēšanas līgumā paredzēto atlīdzības (kompensācijas) maksājumu pārmaksu regulāri, bet ne retāk kā reizi trijos gados un pilnvarojuma akta darbības perioda beigās veicot līgumā noteiktās pārbaudes (turpmāk - apliecinājums).
3) Saskaņā ar MK noteikumu Nr. 273 grozījumu 41. punktu ārstniecības iestādēm sniedzot Centrālajai finanšu un līgumu aģentūrai kā sadarbības iestādei (turpmāk - CFLA) noslēguma maksājuma pieprasījumu vairs nebūs jāpievieno infrastruktūras izmantošanas proporcijas aprēķins. Vienlaikus MK noteikumu Nr. 273 grozījumi paredz, ka ārstniecības iestādes uzkrāj datus un aktualizē infrastruktūras izmantošanas proporcijas aprēķinu, to iesniedzot pēc CFLA pieprasījuma. Šī nosacījuma izpildei administratīvā sloga samazinājuma nav.
Aprēķinam tiek izmantots pieņēmums, ka finansējuma saņēmējs datu ievadei un iesniegšanai sadarbības iestādē izmanto Kohēzijas politikas vadības informācijas sistēmu (1), projekta iesniegumu grozījumus ievada divi darbinieki (astoņas stundas katrs), un paredzēts, ka grozījumus iesniegs vienu reizi. Subjektu skaits atlasīts, vērtējot kuros 4.1.1.1. pasākuma otrās kārtas projektu iesniegumos pie vadības personāla informācijas noslodze norādīta 30 %.  
Aprēķinam izmantots pieņēmums, ka ārstniecības iestāde sagatavo un iesniedz NVD vēstuli ar lūgumu sniegt VTNP sniegšanas pilnvarojuma uzlicēja apliecinājumu (2). Vēstules sagatavošanu un izskatīšanu veic divi darbinieki. 
Aprēķinam tiek izmantots pieņēmums, ka projekta grozījumu un vēstules sagatavošanu un izskatīšanu veic darbinieki ar vidējo mēneša darba samaksu sabiedriskajā sektorā, kas 2024. gadā Latvijā bija 1 604 euro mēnesī (https://data.stat.gov.lv/pxweb/lv/OSP_PUB/START__EMP__DS__DSV/DSV070/), kam atbilst stundas samaksas likme 11,35 euro.  Subjektu skaita noteikšanai atlasīts kopējais projektu iesniegumu skaits.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-4 540,00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Ministru kabineta 2024. gada 15. oktobra noteikumu Nr. 639 "Sabiedrības līdzdalības kārtība attīstības plānošanas procesā" 4. punkta, sabiedrības līdzdalību nodrošina attīstības plānošanas dokumentu projektu, kā arī tiesību aktu projektu izstrādē un citās sabiedrībai nozīmīgās iniciatīvās un procesos, it īpaši reformu izstrādes un īstenošanas procesā un publiskā finansējuma plānošanā.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tiesību akta projekts nodrošina ātrāku un kvalitatīvāku 4.1.1. SAM mērķu sasniegšanu un pakalpojumu pieejamību sabiedrības interesēs un tam nav ietekmes uz sabiedrības interesēm un pienākumiem, līdz ar to nav nepieciešams organizēt sabiedrības informēšanas pasākumus saistībā ar šī projekta izstrādi.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Nacionālais veselības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Centrālā finanšu un līgumu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Turpmāk ārstniecības iestādēm nebūs jāpieprasa no Nacionālā veselības dienesta vispārējas tautsaimnieciskas nozīmes pakalpojuma (turpmāk - VTNP) sniegšanas pilnvarojuma uzlicēja apliecinājumu, ka tas kontrolēs un pārskatīs VTNP sniegšanas deleģēšanas līgumā paredzētos atlīdzības (kompensācijas) maksājumus, kā arī novērsīs un atgūs deleģēšanas līgumā paredzēto atlīdzības (kompensācijas) maksājumu pārmaksu regulāri, bet ne retāk kā reizi trijos gados un pilnvarojuma akta darbības perioda beigās veicot līgumā noteiktās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Centrālajai finanšu un līgumu aģentūrai izskatot ārstniecības iestāžu projektu noslēguma pārskatu nebūs jāizskata infrastruktūras izmantošanas proporcijas aprēķinu.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investīcijas veselības aprūpes jomā veicina veselības pakalpojumu pieejamību un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26-TA-200</w:t>
    </w:r>
    <w:r>
      <w:br/>
    </w:r>
    <w:r w:rsidR="00000000" w:rsidRPr="00000000" w:rsidDel="00000000">
      <w:rPr>
        <w:rtl w:val="0"/>
      </w:rPr>
      <w:t xml:space="preserve">Izdrukāts 29.07.2026. 22.51 - 2.0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26-TA-200</w:t>
    </w:r>
    <w:r>
      <w:br/>
    </w:r>
    <w:r w:rsidR="00000000" w:rsidRPr="00000000" w:rsidDel="00000000">
      <w:rPr>
        <w:rtl w:val="0"/>
      </w:rPr>
      <w:t xml:space="preserve">Izdrukāts 29.07.2026. 22.51 - 2.0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anotācija_(ex_ante)_26-TA-200.docx</dc:title>
</cp:coreProperties>
</file>

<file path=docProps/custom.xml><?xml version="1.0" encoding="utf-8"?>
<Properties xmlns="http://schemas.openxmlformats.org/officeDocument/2006/custom-properties" xmlns:vt="http://schemas.openxmlformats.org/officeDocument/2006/docPropsVTypes"/>
</file>