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kārtību, kādā nosakāms finanšu gada neto apgrozījums, no kura aprēķina soda naudu, un soda naudas apmēra noteikšanas kritērijiem"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(turpmāk – NKDL), kas stājas spēkā 2024. gada 1. septembrī, 46. panta ceturtā daļa paredz, ka Ministru kabineta nosaka kārtību, kādā nosakāms finanšu gada neto apgrozījums, no kura aprēķina soda naudu, un soda naudas apmēra noteikšanas kritērijus (turpmāk - MK).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"Noteikumi par soda naudas apmēra noteikšanu par būtisku neatbilstību Nacionālās kiberdrošības likuma prasībām" (turpmāk -  noteikumu projekts) izstrādāts, lai noteiktu, kārtību, kādā nosakāms finanšu gada neto apgrozījums, no kura aprēķina soda naudu, un soda naudas apmēra noteikšanas kritērijus.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 septembrī ir stājies spēkā NKDL. Atbilstoši NKDL 46. panta ceturtajā daļā ietvertajam deleģējumam, nepieciešams noteikt vienotu kārtību un kritērijus soda naudas piemērošanai NKDL 41. pantā noteiktajām NKDL subjektu uzraugošajām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41. pantā ir noteiktas NKDL subjektu uzraugošās institūcijas, kurām atbilstoši NKDL 6. un 7. pantā noteiktajam, ir tiesības piemērot soda naudu un veikt tiesiskā pienākuma piespiedu izpildi. MK noteikumu projekts ir izstrādāts, lai tiktu noteikta vienota kārtība un kritēriji soda naudas piemērsošanai pēc kuras Nacionālais kiberdrošības centrs (turpmāk - NKDC) un Satversmes aizsardzības birojs (turpmāk - SAB) varētu piemērot soda naudu par būtiskām neatbilstībām NKDL izpratnē.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41. pantā noteikts, ka NKDL subjektu uzraudzību veic NKDC un SAB un abām minētajām institūcijām atbilstoši NKDL 6. un 8. pantā noteiktajam, ir tiesības piemērot soda naudu par NKDL 46. panta piektajā daļā minētajām būtiskajām neatbilstībām.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NKDL noteikto būtisko neatbilstību izdarīšanu piemērotā soda nauda tiks aprēķināta no pēdējā pārskata gada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soda naudas apmēru, NKDC un SAB ir jāņem vērā katra būtiskas neatbilstības smagumu, pārkāpto prasību nozīmīgumu, neatbilstības ilgumu un citus apstākļus, kas atbilst NKDL 46. panta sestās daļas un vienlaikus 45. panta sestās daļas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NKDC un SAB vienlaikus būs tiesīgi kopējo soda naudas apmēru samazināt, ja pastāv vismaz kāds no MK noteikumu projekta 13. punktā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7. punktā noteikts, ja subjektam iepriekšējā finanšu gada neto apgrozījums izteikts ārvalstu valūtā, kopējo soda naudas apmēru </w:t>
      </w:r>
      <w:r w:rsidR="00000000" w:rsidRPr="00000000" w:rsidDel="00000000">
        <w:rPr>
          <w:i w:val="1"/>
          <w:rtl w:val="0"/>
        </w:rPr>
        <w:t xml:space="preserve">euro</w:t>
      </w:r>
      <w:r w:rsidR="00000000" w:rsidRPr="00000000" w:rsidDel="00000000">
        <w:rPr>
          <w:rtl w:val="0"/>
        </w:rPr>
        <w:t xml:space="preserve"> nosaka pēc grāmatvedībā  izmantojamā ārvalstu valūtas kursa dienā, kad konstatēta būtiska neatbilstība. Skaidrojam, ka grāmatvedībā izmantojamais ārvalstu valūtas kurss atbilstoši Grāmatvedības likuma 7. panta otrajā daļā noteiktajam, ir grāmatvedībā izmantojamais ārvalstu valūtas kurss, kas ir Eiropas Centrālās bankas publicētais </w:t>
      </w:r>
      <w:r w:rsidR="00000000" w:rsidRPr="00000000" w:rsidDel="00000000">
        <w:rPr>
          <w:i w:val="1"/>
          <w:rtl w:val="0"/>
        </w:rPr>
        <w:t xml:space="preserve">euro</w:t>
      </w:r>
      <w:r w:rsidR="00000000" w:rsidRPr="00000000" w:rsidDel="00000000">
        <w:rPr>
          <w:rtl w:val="0"/>
        </w:rPr>
        <w:t xml:space="preserve"> atsauces kurss, bet, ja konkrētai ārvalstu valūtai nav Eiropas Centrālās bankas publicētā </w:t>
      </w:r>
      <w:r w:rsidR="00000000" w:rsidRPr="00000000" w:rsidDel="00000000">
        <w:rPr>
          <w:i w:val="1"/>
          <w:rtl w:val="0"/>
        </w:rPr>
        <w:t xml:space="preserve">euro</w:t>
      </w:r>
      <w:r w:rsidR="00000000" w:rsidRPr="00000000" w:rsidDel="00000000">
        <w:rPr>
          <w:rtl w:val="0"/>
        </w:rPr>
        <w:t xml:space="preserve"> atsauces kursa, izmanto pasaules finanšu tirgus atzīta finanšu informācijas sniedzēja periodiskajā izdevumā vai tā tīmekļvietnē publicēto valūtas tirgus kursu attiecībā pret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16. punktā noteikts, ja subjekts izdarījis vairākus pārkāpumus un tie izskatīti vienlaikus vienā lietā, par katru pārkāpumu soda naudas apmēru nosaka atsevišķi. Galīgo soda naudas apmēru aprēķina tās soda naudas ietvaros, kas noteikta par smagāko no konstatētajām neatbilstībām. Atbilstoši Administratīvā procesa likuma 22. panta pirmajai daļai, ja viena persona izdarījusi divus vai vairākus administratīvos pārkāpumus, administratīvo sodu piemēro par katru pārkāpumu atsevišķi. Līdz ar to, kopējo soda naudas apmēru par vienu pārkāpumu aprēķinās, summējot naudas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konstatētas vairākas neatbilstības, tad neizvēlās pēc “dārgākās” konstatētās neatbilstības, bet pēc tās, kura ir smagākā. Šādā gadījumā sodi tiek vērtēti pēc kopības, izvērtējot veikto neatbilstību smagumu. Analoģijai varam minēt Krimināllikuma 50. pantu par soda noteikšanu par vairākiem noziedzīgiem nodarījumiem. Arī Krimināllikumā norādīts: “..sastādot priekšrakstu par sodu, nosaka sodu atsevišķi par katru noziedzīgo nodarījumu. Šādā gadījumā galīgais sods nosakāms pēc noziedzīgu nodarījumu kopības, ietverot vieglāko sodu smagākajā vai arī pilnīgi vai daļēji saskaitot piespriestos sodus.”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ir iespējamas abas opcijas: mazāko soda nauda iekļaut lielākajā vai arī tos sodus pilnīgi vai daļēji saskaitīt.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paredzētas NKDC un SAB tiesības samazināt kopējo naudas soda apmēru, ja iestājās kāds no MK noteikumu projekta 13. punktā minētajiem apstākļiem.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3. pantā ir noteikti NKDL subjekti. MK noteikumu projekts attiecas uz būtisko pakalpojumu un svarīgo pakalpojumu sniedzējiem un informācijas un komunikācijas tehnoloģiju kritiskās infrastruktūras īpašniekiem un tiesiskajiem valdītājiem. Minētajiem subjektiem ir jāievēro NKDL noteiktās prasības un gadījumā, ja minētie subjekti nepilda NKDL noteikto, tad atbilstoši NKDL 46. pantā noteiktajam, Nacionālajam kiberdrošības centram un Satversmes aizsardzības birojam, atbilstoši NKDL 41. pantā noteiktajam subjektu uzraudzības dalījumam, ir tiesības piemērot soda naudu un veikt tiesiskā pienākuma piespiedu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3. pantā ir noteikti NKDL subjekti. MK noteikumu projekts attiecas uz būtisko pakalpojumu un svarīgo pakalpojumu sniedzējiem un informācijas un komunikācijas tehnoloģiju kritiskās infrastruktūras īpašniekiem un tiesiskajiem valdītājiem. Minētajiem subjektiem ir jāievēro NKDL noteiktās prasības un gadījumā, ja minētie subjekti nepilda NKDL noteikto, tad atbilstoši NKDL 46. pantā noteiktajam, Nacionālajam kiberdrošības centram un Satversmes aizsardzības birojam, atbilstoši NKDL 41. pantā noteiktajam subjektu uzraudzības dalījumam, ir tiesības piemērot soda naudu un veikt tiesiskā pienākuma piespiedu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neietekmē pārvaldes institucionālo struktūru. Jaunas institūcijas netiek izveidotas, likvidētas vai reorganizētas, kā arī noteikumu projekts neietekmē institūciju cilvēkresursus.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24-TA-2310</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24-TA-2310</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anotācija_(ex_ante)_24-TA-2310.docx</dc:title>
</cp:coreProperties>
</file>

<file path=docProps/custom.xml><?xml version="1.0" encoding="utf-8"?>
<Properties xmlns="http://schemas.openxmlformats.org/officeDocument/2006/custom-properties" xmlns:vt="http://schemas.openxmlformats.org/officeDocument/2006/docPropsVTypes"/>
</file>