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"Valsts Akadēmiskais koris "Latvija""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atļaut noteikt valsts kapitālsabiedrības stratēģijā atšķirīgu prognozējamo dividendēs izmaksājamo un saņemamo peļņas daļu (procentos no prognozētās pārskata gada peļņas), nekā tas norādīts Ministru kabineta 2022.gada 25.janvāra noteikumu Nr.72 „Kārtība, kādā tiek prognozēti, noteikti un veikti maksājumi par valsts kapitāla izmantošanu” (turpmāk – Noteikumi Nr.72) 3.punktā vai citos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„Valsts Akadēmiskais koris „Latvija”” (turpmāk – kapitālsabiedrība) ikgadējās prognozējamās dividendēs izmaksājamās peļņas daļas novirzīšana kapitālsabiedrības plānotajām investīcijām – materiāli tehniskās bāzes uzlabošanai – atbilstoši kapitālsabiedrības vidēja termiņa darbības stratēģijai 2022.-2026.gadam, lai nodrošinātu ilgtermiņa attīstību un augstvērtīgu māksliniecisko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vidēja termiņa stratēģijas projektā „Valsts sabiedrības ar ierobežotu atbildību „Valsts Akadēmiskais koris „Latvija”” vidēja termiņa darbības stratēģija 2022.-2026.gadam” (turpmāk – Stratēģija) noteiktie finanšu mērķi ir neto apgrozījums, Pašu kapitāla atdeve (ROE), aktīvu atdeve (ROA), kopējās likviditātes rādītājs, saistību īpatsvars (saistības/pašu kapitāls), peļņa (2021.gadā – 987 </w:t>
      </w:r>
      <w:r w:rsidR="00000000" w:rsidRPr="00000000" w:rsidDel="00000000">
        <w:rPr>
          <w:i w:val="1"/>
          <w:rtl w:val="0"/>
        </w:rPr>
        <w:t xml:space="preserve">euro</w:t>
      </w:r>
      <w:r w:rsidR="00000000" w:rsidRPr="00000000" w:rsidDel="00000000">
        <w:rPr>
          <w:rtl w:val="0"/>
        </w:rPr>
        <w:t xml:space="preserve">, 2022.gadā – 2 220 </w:t>
      </w:r>
      <w:r w:rsidR="00000000" w:rsidRPr="00000000" w:rsidDel="00000000">
        <w:rPr>
          <w:i w:val="1"/>
          <w:rtl w:val="0"/>
        </w:rPr>
        <w:t xml:space="preserve">euro</w:t>
      </w:r>
      <w:r w:rsidR="00000000" w:rsidRPr="00000000" w:rsidDel="00000000">
        <w:rPr>
          <w:rtl w:val="0"/>
        </w:rPr>
        <w:t xml:space="preserve">, 2023.gadā – 2 220 </w:t>
      </w:r>
      <w:r w:rsidR="00000000" w:rsidRPr="00000000" w:rsidDel="00000000">
        <w:rPr>
          <w:i w:val="1"/>
          <w:rtl w:val="0"/>
        </w:rPr>
        <w:t xml:space="preserve">euro</w:t>
      </w:r>
      <w:r w:rsidR="00000000" w:rsidRPr="00000000" w:rsidDel="00000000">
        <w:rPr>
          <w:rtl w:val="0"/>
        </w:rPr>
        <w:t xml:space="preserve">, 2024.gadā – 2 220 </w:t>
      </w:r>
      <w:r w:rsidR="00000000" w:rsidRPr="00000000" w:rsidDel="00000000">
        <w:rPr>
          <w:i w:val="1"/>
          <w:rtl w:val="0"/>
        </w:rPr>
        <w:t xml:space="preserve">euro</w:t>
      </w:r>
      <w:r w:rsidR="00000000" w:rsidRPr="00000000" w:rsidDel="00000000">
        <w:rPr>
          <w:rtl w:val="0"/>
        </w:rPr>
        <w:t xml:space="preserve">, 2025.gadā – 2 220 </w:t>
      </w:r>
      <w:r w:rsidR="00000000" w:rsidRPr="00000000" w:rsidDel="00000000">
        <w:rPr>
          <w:i w:val="1"/>
          <w:rtl w:val="0"/>
        </w:rPr>
        <w:t xml:space="preserve">euro</w:t>
      </w:r>
      <w:r w:rsidR="00000000" w:rsidRPr="00000000" w:rsidDel="00000000">
        <w:rPr>
          <w:rtl w:val="0"/>
        </w:rPr>
        <w:t xml:space="preserve">, 2026.gadā – 2 220 </w:t>
      </w:r>
      <w:r w:rsidR="00000000" w:rsidRPr="00000000" w:rsidDel="00000000">
        <w:rPr>
          <w:i w:val="1"/>
          <w:rtl w:val="0"/>
        </w:rPr>
        <w:t xml:space="preserve">euro</w:t>
      </w:r>
      <w:r w:rsidR="00000000" w:rsidRPr="00000000" w:rsidDel="00000000">
        <w:rPr>
          <w:rtl w:val="0"/>
        </w:rPr>
        <w:t xml:space="preserve">) un plānoto pašu ieņēmumu īpatsvars pret apgrozījumu (2021.gadā – 8,70 %, 2022.gadā – 6,74 %, 2023.gadā – 7,13 %, 2024.gadā – 7,85 %, 2025.gadā – 8,55 %, 2026.gadā – 9,24 %). Tā kā kapitālsabiedrības darbības primārais mērķis nav peļņas gūšana, bet gan deleģēto valsts pārvaldes uzdevumu veikšana atbilstoši Kultūras institūciju likuma 23.panta otrajai daļai, kapitālsabiedrības ikgadējo prognozējamo dividendēs izmaksājamo peļņas daļu nepieciešams novirzīt kapitālsabiedrības plānotajām investīcijām – materiāli tehniskās bāzes uzlabošanai – atbilstoši kapitālsabiedrības Stratēģijai, lai nodrošinātu ilgtermiņa attīstību un augstvērtīgu māksliniecisko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 no kapitālsabiedrības pārskata gada peļņas, ja atbilstoši Noteikumu Nr.72 II nodaļai kapitālsabiedrības vidēja termiņa darbības stratēģijā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28.panta pirmajā daļā noteikts, ka prognozējamo peļņas daļu, kas izmaksājama dividendēs, un dividendēs izmaksājamo peļņas daļu nosaka, pamatojoties uz kapitālsabiedrības vidēja termiņa darbības stratēģiju, tajā noteiktajiem kapitālsabiedrības mērķiem un to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Nr.72 6.punkts nosaka, ka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Noteikumu Nr.72 3.punktā vai citos tiesību aktos. Noteikumu Nr.72 7.punkts nosaka, ka valsts kapitāla daļu turētājs iesniedz Ministru kabinetā Noteikumu Nr.72 6.punktā minēto Ministru kabineta rīkojuma projektu un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2021.gada 4.janvārī noslēgts līdzdarbības līgums Nr.2.5-8-5 „Par atsevišķu valsts pārvaldes uzdevumu deleģēšanu kultūras jomā”, saskaņā ar kuru kapitālsabiedrība veic valsts deleģētus pārvaldes uzdevumus kultūras jomā, kuru ietvaros kapitālsabiedrības tiešie uzdevumi paredz iestudēt daudzveidīgas un kvalitatīvas profesionālās kora un vokāli simfoniskās mūzikas koncertprogrammas, veicinot kormūzikas tradīciju saglabāšanu, attīstību un jaunradi, nodrošināt profesionālās kora mūzikas mākslas popularizēšanu un pieejamību plašai Latvijas sabiedrībai, apgūt starptautisko pieredzi profesionālās kora un vokāli simfoniskās mūzikas mākslas jomā, veicinot izcilību un popularizējot Latvijas profesionālās kormūzikas sasniegumus ārzemēs un nodrošināt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Savukārt Līguma par Eiropas Savienības darbību 107.panta 3.punkta d) apakšpunkts nosaka, ka „atbalstu, kas veicina kultūru un kultūras mantojuma saglabāšanu, ja tāds atbalsts neiespaido tirdzniecības nosacījumus un konkurenci Savienībā tiktāl, ka tas ir pretrunā kopīgām interesēm, var uzskatīt par saderīgu ar iekšējo tirgu”. Papildus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 „daļa no faktiskajām izmaksām” ir ne vairāk kā 50 %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darbības rādītājiem kapitālsabiedrības pašu ieņēmumi no saimnieciskās darbības, tai skaitā no biļešu tirdzniecības, 2021.gadā bija 116 654 </w:t>
      </w:r>
      <w:r w:rsidR="00000000" w:rsidRPr="00000000" w:rsidDel="00000000">
        <w:rPr>
          <w:i w:val="1"/>
          <w:rtl w:val="0"/>
        </w:rPr>
        <w:t xml:space="preserve">euro</w:t>
      </w:r>
      <w:r w:rsidR="00000000" w:rsidRPr="00000000" w:rsidDel="00000000">
        <w:rPr>
          <w:rtl w:val="0"/>
        </w:rPr>
        <w:t xml:space="preserve">, kas veidoja 8,71 % no kopējiem kapitālsabiedrības izdevumiem (1 338 948 </w:t>
      </w:r>
      <w:r w:rsidR="00000000" w:rsidRPr="00000000" w:rsidDel="00000000">
        <w:rPr>
          <w:i w:val="1"/>
          <w:rtl w:val="0"/>
        </w:rPr>
        <w:t xml:space="preserve">euro</w:t>
      </w:r>
      <w:r w:rsidR="00000000" w:rsidRPr="00000000" w:rsidDel="00000000">
        <w:rPr>
          <w:rtl w:val="0"/>
        </w:rPr>
        <w:t xml:space="preserve">) kultūras pakalpojumu pieejamības nodrošināšanā. Savukārt dotācija no valsts pamatbudžeta bija 1 213 705 </w:t>
      </w:r>
      <w:r w:rsidR="00000000" w:rsidRPr="00000000" w:rsidDel="00000000">
        <w:rPr>
          <w:i w:val="1"/>
          <w:rtl w:val="0"/>
        </w:rPr>
        <w:t xml:space="preserve">euro</w:t>
      </w:r>
      <w:r w:rsidR="00000000" w:rsidRPr="00000000" w:rsidDel="00000000">
        <w:rPr>
          <w:rtl w:val="0"/>
        </w:rPr>
        <w:t xml:space="preserve">, faktiski izlietota un uzskaitīta kā 2021.gada ieņēmumi no valsts budžeta dotācijas 1 223 830 </w:t>
      </w:r>
      <w:r w:rsidR="00000000" w:rsidRPr="00000000" w:rsidDel="00000000">
        <w:rPr>
          <w:i w:val="1"/>
          <w:rtl w:val="0"/>
        </w:rPr>
        <w:t xml:space="preserve">euro</w:t>
      </w:r>
      <w:r w:rsidR="00000000" w:rsidRPr="00000000" w:rsidDel="00000000">
        <w:rPr>
          <w:rtl w:val="0"/>
        </w:rPr>
        <w:t xml:space="preserve"> jeb 90,65 % no kopējiem kapitālsabiedrības izdevumiem kultūras pakalpojumu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ieņēmumi no saimnieciskās darbības 2021.gadā nepārsniedza 50 % no izdevumiem, komercdarbības atbalstu regulējošās tiesību normas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7.3.1.1.apakšpunktu, ņemot vērā kapitālsabiedrības nepieciešamību iegādāties mūzikas instrumentus, apskaņošanas tehniku un koncerttērpus kapitālsabiedrības koncertdarbības nodrošināšanai, līdzekļi, ko kapitālsabiedrība spēj piesaistīt pašu spēkiem, vidējā termiņa darbības ietvaros ir jāsaglabā kapitālsabiedrības rīcībā kapitālsabiedrības plānotajām investīcijām – materiāli tehniskās bāzes uzlabošanai – atbilstoši Stratēģijai, lai nodrošinātu dažādu žanru kora mūzikas pieejamību un attīstību un atbilstoši kultūrpolitiskajām prioritātēm nodrošina augstāku kvalitātes standartu mūzikas mākslas jomā, kas tika noteikts Ministru kabineta 2015.gada 22.decembra sēdē (protokols Nr.68 80.§), pieņemot lēmumu par valsts līdzdalības saglabāšanu kapitālsabiedrībā. Stratēģijā minētajā laika periodā kapitālsabiedrībai ir nepieciešami ieguldījumi mūzikas instrumentu (rokas zvanu un perkusiju) iegādes izdevumu segšanai 4 500 </w:t>
      </w:r>
      <w:r w:rsidR="00000000" w:rsidRPr="00000000" w:rsidDel="00000000">
        <w:rPr>
          <w:i w:val="1"/>
          <w:rtl w:val="0"/>
        </w:rPr>
        <w:t xml:space="preserve">euro</w:t>
      </w:r>
      <w:r w:rsidR="00000000" w:rsidRPr="00000000" w:rsidDel="00000000">
        <w:rPr>
          <w:rtl w:val="0"/>
        </w:rPr>
        <w:t xml:space="preserve"> apmērā, no kuriem 1 920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apskaņošanas tehnikas (mikrofonu un skaņas aparatūras) iegādes izdevumu segšanai 3 000 </w:t>
      </w:r>
      <w:r w:rsidR="00000000" w:rsidRPr="00000000" w:rsidDel="00000000">
        <w:rPr>
          <w:i w:val="1"/>
          <w:rtl w:val="0"/>
        </w:rPr>
        <w:t xml:space="preserve">euro</w:t>
      </w:r>
      <w:r w:rsidR="00000000" w:rsidRPr="00000000" w:rsidDel="00000000">
        <w:rPr>
          <w:rtl w:val="0"/>
        </w:rPr>
        <w:t xml:space="preserve"> apmērā, no kuriem 1 920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kā arī papildus koncerttērpu iegādes izdevumu segšanai 3 867 </w:t>
      </w:r>
      <w:r w:rsidR="00000000" w:rsidRPr="00000000" w:rsidDel="00000000">
        <w:rPr>
          <w:i w:val="1"/>
          <w:rtl w:val="0"/>
        </w:rPr>
        <w:t xml:space="preserve">euro</w:t>
      </w:r>
      <w:r w:rsidR="00000000" w:rsidRPr="00000000" w:rsidDel="00000000">
        <w:rPr>
          <w:rtl w:val="0"/>
        </w:rPr>
        <w:t xml:space="preserve"> apmērā, no kuriem 2 476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Stratēģijā iekļautie plāni peļņas izlietojumam nav paredzēti tādu pamatlīdzekļu iegādei, kuru trūkums varētu apdraudēt pamatdarbību, bet gan ir vērsts uz pakāpenisku materiāltehniskā aprīkojuma papildināšanu, atjaunināšanu un uzlabošanu.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tās Stratēģijā noteiktos mērķus, ir nepieciešams veikt regulārus ieguldījumus kapitālsabiedrības materiāli tehniskās bāzes uzlabošanai atbilstoši kapitālsabiedrības Stratēģijai, lai nodrošinātu ilgtermiņa attīstību un augstvērtīgu māksliniecisko darbību, līdz ar to Kultūras ministrija ierosina Ministru kabinetam pieņemt lēmumu, ar kuru atļaut noteikt kapitālsabiedrības Stratēģijā atšķirīgu prognozējamo dividendēs izmaksājamo peļņas daļu 0 % apmērā no prognozētās pārskata gada peļņas.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ietvaru 2022., 2023. un 2024.gadam” ir ieplānoti ieņēmumi no dividendēm (ieņēmumi no valsts (pašvaldību) kapitāla izmantošanas) 2022.gadā 199 278 584 </w:t>
      </w:r>
      <w:r w:rsidR="00000000" w:rsidRPr="00000000" w:rsidDel="00000000">
        <w:rPr>
          <w:i w:val="1"/>
          <w:rtl w:val="0"/>
        </w:rPr>
        <w:t xml:space="preserve">euro</w:t>
      </w:r>
      <w:r w:rsidR="00000000" w:rsidRPr="00000000" w:rsidDel="00000000">
        <w:rPr>
          <w:rtl w:val="0"/>
        </w:rPr>
        <w:t xml:space="preserve">, 2023.gadā 142 881 000 </w:t>
      </w:r>
      <w:r w:rsidR="00000000" w:rsidRPr="00000000" w:rsidDel="00000000">
        <w:rPr>
          <w:i w:val="1"/>
          <w:rtl w:val="0"/>
        </w:rPr>
        <w:t xml:space="preserve">euro</w:t>
      </w:r>
      <w:r w:rsidR="00000000" w:rsidRPr="00000000" w:rsidDel="00000000">
        <w:rPr>
          <w:rtl w:val="0"/>
        </w:rPr>
        <w:t xml:space="preserve"> un 2024.gadā 84 975 000 </w:t>
      </w:r>
      <w:r w:rsidR="00000000" w:rsidRPr="00000000" w:rsidDel="00000000">
        <w:rPr>
          <w:i w:val="1"/>
          <w:rtl w:val="0"/>
        </w:rPr>
        <w:t xml:space="preserve">euro</w:t>
      </w:r>
      <w:r w:rsidR="00000000" w:rsidRPr="00000000" w:rsidDel="00000000">
        <w:rPr>
          <w:rtl w:val="0"/>
        </w:rPr>
        <w:t xml:space="preserve">. Projekta īstenošanas gadījumā 2022.gadā valsts budžets negūs ieņēmumus no dividendēm 632 </w:t>
      </w:r>
      <w:r w:rsidR="00000000" w:rsidRPr="00000000" w:rsidDel="00000000">
        <w:rPr>
          <w:i w:val="1"/>
          <w:rtl w:val="0"/>
        </w:rPr>
        <w:t xml:space="preserve">euro</w:t>
      </w:r>
      <w:r w:rsidR="00000000" w:rsidRPr="00000000" w:rsidDel="00000000">
        <w:rPr>
          <w:rtl w:val="0"/>
        </w:rPr>
        <w:t xml:space="preserve"> apmērā, 2023.gadā 1 421 </w:t>
      </w:r>
      <w:r w:rsidR="00000000" w:rsidRPr="00000000" w:rsidDel="00000000">
        <w:rPr>
          <w:i w:val="1"/>
          <w:rtl w:val="0"/>
        </w:rPr>
        <w:t xml:space="preserve">euro</w:t>
      </w:r>
      <w:r w:rsidR="00000000" w:rsidRPr="00000000" w:rsidDel="00000000">
        <w:rPr>
          <w:rtl w:val="0"/>
        </w:rPr>
        <w:t xml:space="preserve"> apmērā, 2024.gadā 1 421 </w:t>
      </w:r>
      <w:r w:rsidR="00000000" w:rsidRPr="00000000" w:rsidDel="00000000">
        <w:rPr>
          <w:i w:val="1"/>
          <w:rtl w:val="0"/>
        </w:rPr>
        <w:t xml:space="preserve">euro</w:t>
      </w:r>
      <w:r w:rsidR="00000000" w:rsidRPr="00000000" w:rsidDel="00000000">
        <w:rPr>
          <w:rtl w:val="0"/>
        </w:rPr>
        <w:t xml:space="preserve"> apmērā, 2025.gadā 1 421 </w:t>
      </w:r>
      <w:r w:rsidR="00000000" w:rsidRPr="00000000" w:rsidDel="00000000">
        <w:rPr>
          <w:i w:val="1"/>
          <w:rtl w:val="0"/>
        </w:rPr>
        <w:t xml:space="preserve">euro</w:t>
      </w:r>
      <w:r w:rsidR="00000000" w:rsidRPr="00000000" w:rsidDel="00000000">
        <w:rPr>
          <w:rtl w:val="0"/>
        </w:rPr>
        <w:t xml:space="preserve"> apmērā un 2026.gadā 1 421 </w:t>
      </w:r>
      <w:r w:rsidR="00000000" w:rsidRPr="00000000" w:rsidDel="00000000">
        <w:rPr>
          <w:i w:val="1"/>
          <w:rtl w:val="0"/>
        </w:rPr>
        <w:t xml:space="preserve">euro</w:t>
      </w:r>
      <w:r w:rsidR="00000000" w:rsidRPr="00000000" w:rsidDel="00000000">
        <w:rPr>
          <w:rtl w:val="0"/>
        </w:rPr>
        <w:t xml:space="preserve"> apmērā. Ņemot vērā to, ka, veicot dividenžu maksājumus, uzņēmumu ienākuma nodoklis tiek aprēķināts un nomaksāts uzņēmumu ienākuma nodokli regulējošos normatīvajos aktos noteiktajā kārtībā, lēmums par peļņas atstāšanu kapitālsabiedrības rīcībā samazinās arī uzņēmuma ienākuma nodokļa maksājumus.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kapitālsabiedrības peļņas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„Valsts Akadēmiskais koris „Latvija””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Stratēģiju, pieņemot lēmumu par atšķirīgu dividendēs izmaksājamo summu (nosakot 0 % likmi), valsts budžetā piecos gados kopā netiktu pārskaitīta summa 6 316 </w:t>
      </w:r>
      <w:r w:rsidR="00000000" w:rsidRPr="00000000" w:rsidDel="00000000">
        <w:rPr>
          <w:i w:val="1"/>
          <w:rtl w:val="0"/>
        </w:rPr>
        <w:t xml:space="preserve">euro</w:t>
      </w:r>
      <w:r w:rsidR="00000000" w:rsidRPr="00000000" w:rsidDel="00000000">
        <w:rPr>
          <w:rtl w:val="0"/>
        </w:rPr>
        <w:t xml:space="preserve"> apmērā. Minētā summa paliktu kapitālsabiedrības rīcībā un tiktu novirzīta kapitālsabiedrības plānotajām investīcijām – materiāli tehniskās bāzes uzlabošanai –atbilstoši kapitālsabiedrības Stratēģijai, lai nodrošinātu ilgtermiņa attīstību un augstvērtīgu māksliniecisko 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22-TA-2657</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22-TA-2657</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anotācija_(ex_ante)_22-TA-2657.docx</dc:title>
</cp:coreProperties>
</file>

<file path=docProps/custom.xml><?xml version="1.0" encoding="utf-8"?>
<Properties xmlns="http://schemas.openxmlformats.org/officeDocument/2006/custom-properties" xmlns:vt="http://schemas.openxmlformats.org/officeDocument/2006/docPropsVTypes"/>
</file>