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15. jūlija noteikumos Nr. 477 "Speciālās izglītības iestāžu un vispārējās izglītības iestāžu speciālās izglītības klašu (grupu) finansēšanas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2016. gada 15. jūlija noteikumos Nr. 477 "Speciālās izglītības iestāžu un vispārējās izglītības iestāžu speciālās izglītības klašu (grupu) finansēšanas kārtība"" (turpmāk – projekts) izstrādāts, lai nodrošinātu īstermiņa risinājumu speciālās izglītības iestāžu uzturēšanas finansējuma palielināšanai 2026. gada četriem mēnešiem, izmantojot pašvaldību pārskatos uzrādīto speciālās izglītības iestāžu pedagogu darba samaksas mērķdotācijas atlikumu. Vienlaikus projektā tiek veikti grozījumi, lai pilnveidotu normatīvo regulējumu, nodrošinātu tiesisko skaidrību, savstarpēju normatīvā regulējuma saskaņotību un vienveidīgu tā piemērošanu.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īstermiņa risinājumu speciālās izglītības iestāžu uzturēšanas izdevumu finansēšanai 2026. gada periodā no 1. septembra līdz 31. decembrim, izmantojot pašvaldību pārskatos uzrādīto speciālās izglītības iestāžu pedagogu darba samaksas mērķdotācijas atlikumu, kā arī pilnveidot noteikumu regulējumu, nodrošinot tiesisko skaidrību, normatīvā regulējuma savstarpēju saskaņotību un vienveidīgu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Nepārtrauktības nodrošināšana pedagogu darba samaksas aprēķinos un finansējuma piešķiršanā.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izvērtējot valsts budžeta mērķdotācijas izlietojumu speciālās izglītības iestādēs 2024. gadā, izstrādāja īstermiņa risinājumu esošā valsts budžeta finansējuma efektīvākai izmantošanai. Tā ietvaros 2025. gadā pašvaldību speciālās izglītības iestādēm, kuras nodrošina internāta pakalpojumu, uzturēšanas izdevumu segšanai tika novirzīts finansējums 331 141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speciālās izglītības iestāžu uzturēšanas izdevumu finansējums nav pārskatīts un palielināts kopš 2007. gada un nepieciešamība pēc papildu finansējuma uzturēšanas izdevumu segšanai saglabājas, arī 2026. gadā paredzēts turpināt minēto īstermiņa risinājumu, esošā valsts budžeta finansējuma ietvaros novirzot speciālās izglītības iestādēm pieejamos finanšu līdzekļus uzturēšanas izdevumu segšanai.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noteiktais īstermiņa risinājums speciālās izglītības iestāžu uzturēšanas izdevumu segšanai ir noteikts tikai 2025. gada septembra līdz decembrim. Attiecīgi ir nepieciešams veikt grozījumus, paredzot īstermiņa risinājumu arī 2026. gada septembrim līdz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rastu īstermiņa risinājumu 2026. gadā speciālās izglītības iestāžu, kas nodrošina internāta pakalpojumus, uzturēšanas izdevumu finansējuma palielināšanai, finanšu līdzekļu atlikumu uz 2025. gada 31. decembri 225 740 </w:t>
      </w:r>
      <w:r w:rsidR="00000000" w:rsidRPr="00000000" w:rsidDel="00000000">
        <w:rPr>
          <w:i w:val="1"/>
          <w:rtl w:val="0"/>
        </w:rPr>
        <w:t xml:space="preserve">euro</w:t>
      </w:r>
      <w:r w:rsidR="00000000" w:rsidRPr="00000000" w:rsidDel="00000000">
        <w:rPr>
          <w:rtl w:val="0"/>
        </w:rPr>
        <w:t xml:space="preserve"> apmērā, kas norādīts pašvaldību pārskatos, speciālās izglītības iestāžu pedagogu darba samaksai, paredzēts novirzīt speciālās izglītības iestāžu, kuras nodrošina internāta pakalpojumus, uzturēšanas izdevumu segšanai no 2026. gada 1. septembra līdz 2026.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pārskata veidlapa ir ietverta normatīvajā aktā. Vienlaikus atbilstoši Valsts iestāžu juridisko dienestu vadītāju 2019. gada 14. novembra sanāksmes protokolā Nr. 3, 2. § "Par veidlapām normatīvajos aktos" paustajām atziņām normatīvajā aktā būtu nosakāms veidlapā ietveramās informācijas saturs un apjoms, savukārt veidlapas vizuālais noformējums nav regulējams normatīvā akta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precizēt regulējumu, nodalot normatīvi noteicamo informācijas saturu no veidlapas tehniskā un vizuālā noformējuma.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normatīvās tehnikas prasībām un vienveidīgu pieeju veidlapu regulēšanai normatīvajos aktos, paredzēts precizēt projekta 18.</w:t>
      </w:r>
      <w:r w:rsidR="00000000" w:rsidRPr="00000000" w:rsidDel="00000000">
        <w:rPr>
          <w:vertAlign w:val="superscript"/>
          <w:rtl w:val="0"/>
        </w:rPr>
        <w:t xml:space="preserve">1</w:t>
      </w:r>
      <w:r w:rsidR="00000000" w:rsidRPr="00000000" w:rsidDel="00000000">
        <w:rPr>
          <w:rtl w:val="0"/>
        </w:rPr>
        <w:t xml:space="preserve"> punktu, nosakot pārskata veidlapā iekļaujamās informācijas saturu un apjomu. Savukārt veidlapas dizains un forma kā ilustratīvs materiāls tiks publicēts ministrijas tīmekļvietnē.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17.</w:t>
      </w:r>
      <w:r w:rsidR="00000000" w:rsidRPr="00000000" w:rsidDel="00000000">
        <w:rPr>
          <w:vertAlign w:val="superscript"/>
          <w:rtl w:val="0"/>
        </w:rPr>
        <w:t xml:space="preserve">1</w:t>
      </w:r>
      <w:r w:rsidR="00000000" w:rsidRPr="00000000" w:rsidDel="00000000">
        <w:rPr>
          <w:rtl w:val="0"/>
        </w:rPr>
        <w:t xml:space="preserve">punkts paredz, ka pašvaldība piecu darbdienu laikā pēc mērķdotāciju sadalījuma apstiprināšanas Ministru kabinetā ievada informācijas sistēmā informāciju par piešķirtās mērķdotācijas apjomu katrā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2026. gada 14. aprīļa Ministru kabineta noteikumu Nr. 205 "Kārtība, kādā aprēķina un sadala valsts budžeta mērķdotāciju pedagogu darba samaksai pašvaldību vispārējās izglītības iestādēs un valsts augstskolu vispārējās vidējās izglītības iestādēs" 9. punkts nosaka, ka pēc mērķdotāciju sadalījuma apstiprināšanas Ministru kabinetā pašvaldības 10 darbdienu laikā sadala un apstiprina mērķdotāciju izglītības iestādēm un ievada informācijas sistēmā informāciju par katrai izglītības iestādei apstiprināto mērķdotācijas apmēru.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17.</w:t>
      </w:r>
      <w:r w:rsidR="00000000" w:rsidRPr="00000000" w:rsidDel="00000000">
        <w:rPr>
          <w:vertAlign w:val="superscript"/>
          <w:rtl w:val="0"/>
        </w:rPr>
        <w:t xml:space="preserve">1</w:t>
      </w:r>
      <w:r w:rsidR="00000000" w:rsidRPr="00000000" w:rsidDel="00000000">
        <w:rPr>
          <w:rtl w:val="0"/>
        </w:rPr>
        <w:t xml:space="preserve"> punktā noteiktais piecu darbdienu termiņš nav saskaņots ar Ministru kabineta noteikumu Nr. 205 9. punktā noteikto 10 darbdienu termiņu. Lai nodrošinātu normatīvā regulējuma savstarpēju saskaņotību un vienveidīgu piemērošanu, nepieciešams precizēt noteikumu 17.</w:t>
      </w:r>
      <w:r w:rsidR="00000000" w:rsidRPr="00000000" w:rsidDel="00000000">
        <w:rPr>
          <w:vertAlign w:val="superscript"/>
          <w:rtl w:val="0"/>
        </w:rPr>
        <w:t xml:space="preserve">1</w:t>
      </w:r>
      <w:r w:rsidR="00000000" w:rsidRPr="00000000" w:rsidDel="00000000">
        <w:rPr>
          <w:rtl w:val="0"/>
        </w:rPr>
        <w:t xml:space="preserve"> punktu, nosakot tajā 10 darbdienu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noteikumi nereglamentē mērķdotācijas avansa maksājuma veikšanas kārtību, apmēru un termiņu. Vienlaikus praksē pašvaldībām tiek veikts mērķdotācijas avansa maksājums, lai nodrošinātu savlaicīgu finansējuma pieejamību pedagogu darba samaksas izdevumu segšanai līdz kārtējā gada mērķdotācijas sadalījuma apstiprināšanai.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noteikumos nav atspoguļota faktiskā finansējuma administrēšanas kārtība. Avansa maksājuma veikšanas nosacījumu neesība normatīvajā regulējumā mazina tiesisko skaidrību un neveicina normatīvā regulējuma konsekvenci.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skaidrību un normatīvā regulējuma atbilstību faktiskajai finansējuma administrēšanas kārtībai, paredzēts papildināt noteikumus ar 3</w:t>
      </w:r>
      <w:r w:rsidR="00000000" w:rsidRPr="00000000" w:rsidDel="00000000">
        <w:rPr>
          <w:vertAlign w:val="superscript"/>
          <w:rtl w:val="0"/>
        </w:rPr>
        <w:t xml:space="preserve">3</w:t>
      </w:r>
      <w:r w:rsidR="00000000" w:rsidRPr="00000000" w:rsidDel="00000000">
        <w:rPr>
          <w:rtl w:val="0"/>
        </w:rPr>
        <w:t xml:space="preserve">. punktu, kas nosaka mērķdotācijas avansa maksājuma veikšanu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noteikt, ka ministrija līdz kārtējā gada 20. septembrim pārskaita pašvaldībām mērķdotācijas avansa maksājumu 100 procentu apmērā no viena mēneša mērķdotācijas, kas apstiprināta gadskārtējā valsts budžeta likumā par periodu no kārtējā gada 1. janvāra līdz 31. augustam.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regulējumā uzturēšanas izdevumu normatīvs nenosaka, kādas izdevumu pozīcijas ir ietvertas uzturēšanas izdevumu finansējumā, tādēļ praksē pašvaldībām var rasties atšķirīga izpratne par mērķdotācijas uzturēšanas izdevumu finansējuma izlietojumu. Vienlaikus nepastāv vienota izpratne par to, kādi izdevumi ir uzskatāmi par izglītības iestādes ikdienas darbības nodrošināšanai nepieciešamajiem uzturēšanas izdevumiem, kas var radīt atšķirīgu regulējuma piemērošanu un risku, ka piešķirtais finansējums netiek izmantots pilnā apmērā tā piešķiršanas mērķim.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regulējuma piemērošanu un skaidru izpratni par uzturēšanas izdevumu normatīvā ietvertajām izmaksām, noteikumu projekta 1. pielikumā tiek pievienota skaidrojoša piezīme, kurā uzskaitītas izglītības iestādes ikdienas darbības nodrošināšanai nepieciešamās uzturēšanas izdevumu pozīcijas, tostarp remontdarbi un iestādes uzturēšanas pakalpojumi, siltumapgāde, komandējumi un dienesta braucieni, mācību līdzekļi, ēdināšanas izdevumi, zāles un citi medicīnas materiāli, iekārtu uzturēšana, energoresursi, celtniecības materiāli, iekārtas, sadzīves tehnika, mēbeles un cits inventārs. Šāds regulējums veicinās mērķdotācijas savlaicīgu, mērķtiecīgu un efektīvu izlietojumu izglītības iestāžu ikdienas uzturēšanas izdevumu segšanai, nodrošinot finansējuma izlietošanu atbilstoši tā piešķiršanas mērķim un mazinot nepamatotas finanšu līdzekļu uzkrāšanas risku.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ietekmē speciālās izglītības iestādes, precizējot valsts budžeta mērķdotācijas administrēšanas, sadales un pārskatu iesniegšanas kārtību, kā arī paredzot īstermiņa risinājumu speciālās izglītības iestāžu, kuras nodrošina internāta pakalpojumu, uzturēšanas izdevumu finansējuma palielināšanai laikposmā no 2026. gada 1. septembra līdz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nerada tiešu ietekmi uz tautsaimniecības attīstību, uzņēmējdarbības vidi, konkurētspēju vai nodarbinātību.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īstenots valsts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w:t>
      </w:r>
      <w:r w:rsidR="00000000" w:rsidRPr="00000000" w:rsidDel="00000000">
        <w:rPr>
          <w:vertAlign w:val="superscript"/>
          <w:rtl w:val="0"/>
        </w:rPr>
        <w:t xml:space="preserve">4</w:t>
      </w:r>
      <w:r w:rsidR="00000000" w:rsidRPr="00000000" w:rsidDel="00000000">
        <w:rPr>
          <w:rtl w:val="0"/>
        </w:rPr>
        <w:t xml:space="preserve"> punkts: "Ja pašvaldību pārskatos par mērķdotācijas izlietojumu pedagogu darba samaksai un valsts sociālās apdrošināšanas obligātajām iemaksām uzrādītais atlikums uz kārtējā budžeta gada sākumu pārsniedz vienu procentu no pašvaldībai piešķirtās mērķdotācijas iepriekšējā budžeta gadā, ministrija samazina mērķdotāciju pārsniegtās summas apmērā laika periodam no kārtējā budžeta gada 1. septembra līdz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Neizlietotais mērķdotācijas atlikums pedagogu darba samaksai un valsts sociālās apdrošināšanas obligātajām iemaksām uz 2026. gada 1. janvāri pašvaldību speciālās izglītības iestādēs, kas pārsniedz vienu procentu no pašvaldībai piešķirtās mērķdotācijas 2025. gadā, ir 225 740  </w:t>
      </w:r>
      <w:r w:rsidR="00000000" w:rsidRPr="00000000" w:rsidDel="00000000">
        <w:rPr>
          <w:i w:val="1"/>
          <w:rtl w:val="0"/>
        </w:rPr>
        <w:t xml:space="preserve">euro</w:t>
      </w:r>
      <w:r w:rsidR="00000000" w:rsidRPr="00000000" w:rsidDel="00000000">
        <w:rPr>
          <w:rtl w:val="0"/>
        </w:rPr>
        <w:t xml:space="preserve">, ko plānots novirzīt minēto izglītības iestāžu uzturēšanas izdevumu segšanai laikposmam no 2026. gada 1. septembra līdz 31. decembrim, atbilstoši izglītojamo skaitam uz 2026. gada 1. septembri.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laikā atsevišķa sabiedrības līdzdalība netika organizēta, jo tiesību akta projekts galvenokārt paredz tehniska rakstura precizējumus spēkā esošajā regulējumā un nerada jaunas tiesības vai pienākumus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un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ir iesaistīta Izglītības un zinātnes ministrija un pašvaldības. Izglītības un zinātnes ministrija nodrošina valsts budžeta mērķdotācijas administrēšanu un sadali atbilstoši noteikumos paredzētajai kārtībai. Pašvaldības nodrošina piešķirtās mērķdotācijas sadali un informācijas par tās izlietojumu iesniegšanu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nerada papildu administratīvo slogu vai administratīvās izmaksas projekta izpildē iesaistītajām institūcijām, jo projektā paredzētās darbības tiek veiktas esošo funkciju un darba procesu ietvaros. Projekta īstenošanai nav nepieciešams veidot jaunas institūcijas, likvidēt vai reorganizēt esošās institūcijas, kā arī netiek mainītas institūciju funkcijas un uzdevumi.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26-TA-1107</w:t>
    </w:r>
    <w:r>
      <w:br/>
    </w:r>
    <w:r w:rsidR="00000000" w:rsidRPr="00000000" w:rsidDel="00000000">
      <w:rPr>
        <w:rtl w:val="0"/>
      </w:rPr>
      <w:t xml:space="preserve">Izdrukāts 07.09.2026. 16.27 - 2.0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26-TA-1107</w:t>
    </w:r>
    <w:r>
      <w:br/>
    </w:r>
    <w:r w:rsidR="00000000" w:rsidRPr="00000000" w:rsidDel="00000000">
      <w:rPr>
        <w:rtl w:val="0"/>
      </w:rPr>
      <w:t xml:space="preserve">Izdrukāts 07.09.2026. 16.27 - 2.0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anotācija_(ex_ante)_26-TA-1107.docx</dc:title>
</cp:coreProperties>
</file>

<file path=docProps/custom.xml><?xml version="1.0" encoding="utf-8"?>
<Properties xmlns="http://schemas.openxmlformats.org/officeDocument/2006/custom-properties" xmlns:vt="http://schemas.openxmlformats.org/officeDocument/2006/docPropsVTypes"/>
</file>