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2019. gada 7. maija noteikumos Nr. 189 "Arhitektu kompetences pārbaudes iestāžu maksas pakalpojumu cenrādis""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piedāvātie grozījumi arhitektu kompetences pārbaudes iestāžu maksas pakalpojumu cenrādim ir izstrādāti pēc nozares pārstāvju iesniegto priekšlikumu saņemšanas. Grozījumi balstīti uz nozares pārstāvju iesniegtiem aprēķiniem par uzraudzības un pārbaudes darbību īstenošanas faktiskajām izmaksām, kas tādējādi nepieciešami arī inflācijas ietekmē pieaugušo reālo izmaksu līdzsvarošanai atbilstoši aktuālajai ekonomiskajai situācijai.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piedāvāto grozījumu mērķis ir līdzsvarot inflācijas ietekmē pieaugušās izmaksas, kas noteiktas Ministru kabineta 2019.gada 7.maija noteikumu Nr. 189 "Arhitektu kompetences pārbaudes iestāžu maksas pakalpojumu cenrādis" (turpmāk - MK noteikumi Nr. 189) arhitektu kompetences pārbaudes iestāžu maksas pakalpojumu cenrādī.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iniciatīva, lai jauni noteiktās maksas neietekmētu nozares pārstāvju tekošā gada budžeta izlietojuma atskaites.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gadā 7.maijā apstiprinātais arhitektu kompetences pārbaudes iestāžu maksas pakalpojumu cenrādis ir atvieglojis arhitektu sertifikācijas procesu, par pakalpojumu nosakot fiksētas maksas. Šīm maksām tagad ir nepieciešama atjaunināšana, jo inflācijas ietekmes dēļ tās ir kļuvušas par neatbilstošām reālajai situācijai valstī, jo pakalpojumu sniegšanas izmaksas ir pieaugušas, ņemot vērā gan cilvēkresursu un pakalpojumu izmaksu sadārdzinājumu, gan pārskatīto pakalpojumu nodrošināšanai nepieciešamo laiku, tehnoloģiskos risinājumus un veicamās darbības atbilstoši pašreizējām kvalitātes prasībām pakalpojumu nodrošināšanā. Minētie faktori kompetences pārbaudes iestādēm ir būtiski palielinājuši izmaksas šo pakalpojumu sniegšanā, jo šajā laika posmā ir mainījies gan sniegto pakalpojumu apjoms, gan faktiskās[1] izmaksas, kas prasa pārskatīt spēkā esošo cenrādi. Šo iemeslu dēļ nozares pārstāvji ir vērsušies pie Ekonomikas ministrijas ar detalizētiem faktisko izmaksu aprēķiniem grozījumu izstrādei MK noteikumos Nr. 189.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Palielinājušās faktiskās administrācijas izmaksas, piemēram, telpu nomai un uzturēšanai, grāmatvedības, revīzijas un juridisko pakalpojumu sniegšanai, izmaksas biroja tehnikas apkalpošanai, kā arī darba alga.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statistikas datiem, kopš 2019. gada vispārējā inflācija ir palielinājusies par 35,8% un darba algu kāpumu 2023. gadā bija 43% pret 2019. gadu, kā arī ir novērojama tendence, ka  šo rādītāju kāpums līdz 2024. gada beigām varētu vēl palielināties. Šīs izmaiņas būtiski ietekmē arhitektu sertificēšanas iestādēm deleģēto pienākumu izpildi saistībā ar arhitektu kompetences, prasmju un zināšanu līmeņa novērtēšanu (eksāmenu organizēšanu), arhitektu uzraudzības ietvaros veicamajām plānveida un padziļinātajām profesionālās darbības pārbaudēm, kā arī sūdzību izvērtēšanu par iespējamajiem arhitektu profesionālās darbības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nozares pārstāvju sniegtās informācijas par noteikto un reālo izmaksu starpības lielumu, ir nepieciešams grozīt MK noteikumu Nr. 189 Pielikuma cenrādī noteiktās 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nozares pārstāvju iesniegtajiem priekšlikumiem, Ekonomikas ministrija ir izstrādājusi grozījumus MK noteikumu Nr. 189 (turpmāk - Grozījumi) Pielikumam, kas 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pārskatīta arhitektu kompetenču, prasmju un zināšanu līmeņa novērtēšanas maksa, palielinot ekspertam un administratīvajam personālam noteikto stundas likmi, atbilstoši darba samaksas pieaugumam kopš 2019.gada. Vienlaikus samazināts darba veikšanai nepieciešamais laika daudzums, jo iepriekšējos gados konstatēts, ka šī pārbaude nav tik apjomīga, kā sākotnēji tika paredzēts. Līdz ar to kopējās arhitektu kompetenču, prasmju un zināšanu līmeņa novērtēšanas izmaksas novērtētas 400 </w:t>
      </w:r>
      <w:r w:rsidR="00000000" w:rsidRPr="00000000" w:rsidDel="00000000">
        <w:rPr>
          <w:i w:val="1"/>
          <w:rtl w:val="0"/>
        </w:rPr>
        <w:t xml:space="preserve">euro </w:t>
      </w:r>
      <w:r w:rsidR="00000000" w:rsidRPr="00000000" w:rsidDel="00000000">
        <w:rPr>
          <w:rtl w:val="0"/>
        </w:rPr>
        <w:t xml:space="preserve">apmērā par vienu pārbaudi.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4"/>
        <w:gridCol w:w="3152"/>
        <w:gridCol w:w="563"/>
        <w:gridCol w:w="1613"/>
        <w:gridCol w:w="1529"/>
        <w:gridCol w:w="1389"/>
        <w:tblGridChange w:id="0">
          <w:tblGrid>
            <w:gridCol w:w="494"/>
            <w:gridCol w:w="3152"/>
            <w:gridCol w:w="563"/>
            <w:gridCol w:w="1613"/>
            <w:gridCol w:w="1529"/>
            <w:gridCol w:w="138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 (izmaksu veids)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Eksperta stundas likme (</w:t>
            </w:r>
            <w:r w:rsidR="00000000" w:rsidRPr="00000000" w:rsidDel="00000000">
              <w:rPr>
                <w:sz w:val="24"/>
                <w:i w:val="1"/>
                <w:rtl w:val="0"/>
              </w:rPr>
              <w:t xml:space="preserve">euro</w:t>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ieguldījums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apjoms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Ekspertu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personāla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pārskatīta profesionālās pilnveides pārbaudes maksa, samazinot pārbaudes apjomu un darba veikšanai nepieciešamo laika daudzumu.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8"/>
        <w:gridCol w:w="3203"/>
        <w:gridCol w:w="534"/>
        <w:gridCol w:w="1610"/>
        <w:gridCol w:w="1526"/>
        <w:gridCol w:w="1386"/>
        <w:tblGridChange w:id="0">
          <w:tblGrid>
            <w:gridCol w:w="478"/>
            <w:gridCol w:w="3203"/>
            <w:gridCol w:w="534"/>
            <w:gridCol w:w="1610"/>
            <w:gridCol w:w="1526"/>
            <w:gridCol w:w="138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Rādītājs (izmaksu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Eksperta stundas likme (</w:t>
            </w:r>
            <w:r w:rsidR="00000000" w:rsidRPr="00000000" w:rsidDel="00000000">
              <w:rPr>
                <w:sz w:val="24"/>
                <w:i w:val="1"/>
                <w:rtl w:val="0"/>
              </w:rPr>
              <w:t xml:space="preserve">euro</w:t>
            </w:r>
            <w:r w:rsidR="00000000" w:rsidRPr="00000000" w:rsidDel="00000000">
              <w:rPr>
                <w:sz w:val="24"/>
                <w:rtl w:val="0"/>
              </w:rPr>
              <w:t xml:space="preserve">/h)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Laika ieguldījums (h)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apjoms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Ekspertu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personāla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ietvaros noteikto uzraudzības izmaksu apjomi izriet no arhitektu uzraudzības ietvaros nepieciešamo darbību veikšanas atjauninātajām tiešajām un netiešajām izmaksām. Tiešās izmaksas uz vienu arhitektu pēc inflācijas ietekmes pārrēķina ir aplēstas 240,00 </w:t>
      </w:r>
      <w:r w:rsidR="00000000" w:rsidRPr="00000000" w:rsidDel="00000000">
        <w:rPr>
          <w:i w:val="1"/>
          <w:rtl w:val="0"/>
        </w:rPr>
        <w:t xml:space="preserve">euro </w:t>
      </w:r>
      <w:r w:rsidR="00000000" w:rsidRPr="00000000" w:rsidDel="00000000">
        <w:rPr>
          <w:rtl w:val="0"/>
        </w:rPr>
        <w:t xml:space="preserve">līdzšinējo 147,00 </w:t>
      </w:r>
      <w:r w:rsidR="00000000" w:rsidRPr="00000000" w:rsidDel="00000000">
        <w:rPr>
          <w:i w:val="1"/>
          <w:rtl w:val="0"/>
        </w:rPr>
        <w:t xml:space="preserve">euro </w:t>
      </w:r>
      <w:r w:rsidR="00000000" w:rsidRPr="00000000" w:rsidDel="00000000">
        <w:rPr>
          <w:rtl w:val="0"/>
        </w:rPr>
        <w:t xml:space="preserve">vietā, savukārt uzraudzības netiešās izmaksas uz vienu arhitektu - 110,00</w:t>
      </w:r>
      <w:r w:rsidR="00000000" w:rsidRPr="00000000" w:rsidDel="00000000">
        <w:rPr>
          <w:b w:val="1"/>
          <w:rtl w:val="0"/>
        </w:rPr>
        <w:t xml:space="preserve"> </w:t>
      </w:r>
      <w:r w:rsidR="00000000" w:rsidRPr="00000000" w:rsidDel="00000000">
        <w:rPr>
          <w:i w:val="1"/>
          <w:rtl w:val="0"/>
        </w:rPr>
        <w:t xml:space="preserve">euro </w:t>
      </w:r>
      <w:r w:rsidR="00000000" w:rsidRPr="00000000" w:rsidDel="00000000">
        <w:rPr>
          <w:rtl w:val="0"/>
        </w:rPr>
        <w:t xml:space="preserve">līdzšinējo 67,00</w:t>
      </w:r>
      <w:r w:rsidR="00000000" w:rsidRPr="00000000" w:rsidDel="00000000">
        <w:rPr>
          <w:b w:val="1"/>
          <w:rtl w:val="0"/>
        </w:rPr>
        <w:t xml:space="preserve"> </w:t>
      </w:r>
      <w:r w:rsidR="00000000" w:rsidRPr="00000000" w:rsidDel="00000000">
        <w:rPr>
          <w:i w:val="1"/>
          <w:rtl w:val="0"/>
        </w:rPr>
        <w:t xml:space="preserve">euro </w:t>
      </w:r>
      <w:r w:rsidR="00000000" w:rsidRPr="00000000" w:rsidDel="00000000">
        <w:rPr>
          <w:rtl w:val="0"/>
        </w:rPr>
        <w:t xml:space="preserve">vietā. Vienlaikus norādām, ka aprēķinā ir pārdalīti arī pārbaužu veikšanas apjomi, ņemot vērā, ka praksē konstatēts, ka 20% pārbaudes veikšanai nav nepieciešams tik ilgs ekspertu laiks, kā tika aprēķināts MK noteikumos Nr.189, jo šīs pārbaudes veikšanai lielākā apjomā iesaistās kompetences pārbaudes iestāžu administratīvais personāls. Papildus norādām, ka ievērojami palielināts apjoms sūdzību izskatīšanai, jo sūdzības kļūst vairāk un par komplicētākiem jautājumiem, kā arī pārsūdzības gadījumā kompetences pārbaudes iestādēm ir jāturpina piedalīties lietu izskatīšanā arī tiesā, līdz ar to kopējais uzraudzības maksas pieaugums pārsniedz inflāciju, jo arhitektu kompetences pārbaudes iestādei ir nepieciešams piesaistīt papildus personālu, lai varētu veikt kvalitatīvu sūdzību izskatīšanu normatīvajos aktos noteiktajos termiņos. Atvieglotā sertifikāta uzturēšanas izmaksas ir novērtētas 150,00 euro līdzšinējo 100,00 euro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 tiešās izmaksas (standarta):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4"/>
        <w:gridCol w:w="2035"/>
        <w:gridCol w:w="1672"/>
        <w:gridCol w:w="1615"/>
        <w:gridCol w:w="1531"/>
        <w:gridCol w:w="1391"/>
        <w:tblGridChange w:id="0">
          <w:tblGrid>
            <w:gridCol w:w="494"/>
            <w:gridCol w:w="2035"/>
            <w:gridCol w:w="1672"/>
            <w:gridCol w:w="1615"/>
            <w:gridCol w:w="1531"/>
            <w:gridCol w:w="139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Pārbaudes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Stundas likme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30960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Sūdzību izvērtēšana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Juridiskie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27300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tiešās izmaksas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148020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tiešās izmaksas uz 1 arhitektu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240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 tiešās izmaksas (atvieglotas):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95"/>
        <w:gridCol w:w="2170"/>
        <w:gridCol w:w="1635"/>
        <w:gridCol w:w="1580"/>
        <w:gridCol w:w="1497"/>
        <w:gridCol w:w="1360"/>
        <w:tblGridChange w:id="0">
          <w:tblGrid>
            <w:gridCol w:w="495"/>
            <w:gridCol w:w="2170"/>
            <w:gridCol w:w="1635"/>
            <w:gridCol w:w="1580"/>
            <w:gridCol w:w="1497"/>
            <w:gridCol w:w="13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Pārbaudes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Gadījumu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Stundas likme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Stundu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Sūdzību izvērtēšana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pārbaude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Juridiskie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tiešās izmaksas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21850</w:t>
            </w:r>
          </w:p>
        </w:tc>
      </w:tr>
      <w:tr>
        <w:tc>
          <w:tcPr>
            <w:shd w:fill="ffffff"/>
            <w:vAlign w:val="center"/>
            <w:noWrap w:val="true"/>
            <w:vMerge w:val="restart"/>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tiešās izmaksas uz 1 arhitektu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 netiešās izmaksas: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4"/>
        <w:gridCol w:w="5429"/>
        <w:gridCol w:w="3127"/>
        <w:tblGridChange w:id="0">
          <w:tblGrid>
            <w:gridCol w:w="634"/>
            <w:gridCol w:w="5429"/>
            <w:gridCol w:w="31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Netiešās izmaksas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Telpu īre un uzturēšanas izdevumi (ieskaitot komunālos, apsardzes un apsaimniekošanas maksājumus)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Institūcijas vadītājs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Lietvedis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Cits SC personāls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33625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Grāmatvedības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Revīzijas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Akreditācijas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Sertificēšanas centra padomes atalgojums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Civiltiesiskā apdrošināšana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IT pakalpojumi, tehnika un programmatūra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Kancelejas un pasta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Komandējumi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Citi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8780</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netiešās izmaksas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84280</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netiešās izmaksas uz 1 arhitektu (</w:t>
            </w:r>
            <w:r w:rsidR="00000000" w:rsidRPr="00000000" w:rsidDel="00000000">
              <w:rPr>
                <w:sz w:val="24"/>
                <w:b w:val="1"/>
                <w:i w:val="1"/>
                <w:rtl w:val="0"/>
              </w:rPr>
              <w:t xml:space="preserve">euro</w:t>
            </w:r>
            <w:r w:rsidR="00000000" w:rsidRPr="00000000" w:rsidDel="00000000">
              <w:rPr>
                <w:sz w:val="24"/>
                <w:b w:val="1"/>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jaunajām tiešo un netiešo izmaksu vērtībām izriet, ka, lai nosegtu izmaksas par arhitektu uzraudzību, arhitektiem par katru aktīvo darbības sfēru vidēji ir jāmaksā 350,00 euro gadā. Paralēli atjaunināta maksa par to arhitektu uzraudzību, kuriem piemērotas atvieglotas sertifikāta uzturēšanas prasības, nosakot tās apjomu 150,00 euro apmērā līdzšinējo 100,00 euro vietā. Šajā maksā nav iekļauta gada maksa par Latvijas standartu tiešsaistes lasītavas abonēšanu 30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pieaugums ir proporcionāls inflācijas pieaugumam laika periodā starp šo un MK noteikumu Nr. 189 pēdējiem pieņemtajiem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attiecināms uz šādu mērķa grupu: personām, kurām ir arhitekta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2024.gada 3.maiju sertificēto personu darbības sfēru skaits ir 760 (vienam arhitektam var būt vairākas darbības sfēras).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nemaina tiesības un pienākumus augstāk minētajām personām, iestādēm, kā arī nemaina veicamās darbības, nenosaka papildu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attiecināms uz šādu mērķa grupu: kompetences pārbaudes iestādes, kuras veic arhitektu kompetences novērtēšanu un profesionālās darbības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sabiedriskās apspriedes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sabiedriskās apspriedes noslēgšanās.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24-TA-1206</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24-TA-1206</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anotācija_(ex_ante)_24-TA-1206.docx</dc:title>
</cp:coreProperties>
</file>

<file path=docProps/custom.xml><?xml version="1.0" encoding="utf-8"?>
<Properties xmlns="http://schemas.openxmlformats.org/officeDocument/2006/custom-properties" xmlns:vt="http://schemas.openxmlformats.org/officeDocument/2006/docPropsVTypes"/>
</file>