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28. decembra noteikumos Nr. 1229 "Noteikumi par šķirnes atšķirīguma, viendabīguma un stabilitātes pārbaudi""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"Grozījumi Ministru kabineta 2010. gada 28. decembra noteikumos Nr. 1229 "Noteikumi par šķirnes atšķirīguma, viendabīguma un stabilitātes pārbaudi"" (turpmāk – noteikumu projekts) sagatavots, jo spēkā stājusies Komisijas 2025. gada 2. jūnija Īstenošanas direktīva (ES) 2025/1079, ar ko attiecībā uz noteiktu lauksaimniecības augu un dārzeņu šķirņu pārbaužu protokoliem groza Direktīvu 2003/90/EK un 2003/91/EK (turpmāk – direktīva 2025/1079).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2010. gada 28. decembra noteikumos Nr. 1229 "Noteikumi par šķirnes atšķirīguma, viendabīguma un stabilitātes pārbaudi" (turpmāk – noteikumi Nr. 1229) pārņemt direktīvas 2025/1079 prasības par Kopienas Augu šķirņu biroja (turpmāk – </w:t>
      </w:r>
      <w:r w:rsidR="00000000" w:rsidRPr="00000000" w:rsidDel="00000000">
        <w:rPr>
          <w:i w:val="1"/>
          <w:rtl w:val="0"/>
        </w:rPr>
        <w:t xml:space="preserve">CVPO</w:t>
      </w:r>
      <w:r w:rsidR="00000000" w:rsidRPr="00000000" w:rsidDel="00000000">
        <w:rPr>
          <w:rtl w:val="0"/>
        </w:rPr>
        <w:t xml:space="preserve">) pārbaudes protokoliem un Starptautiskās Jaunu augu šķirņu aizsardzības savienības (turpmāk –</w:t>
      </w:r>
      <w:r w:rsidR="00000000" w:rsidRPr="00000000" w:rsidDel="00000000">
        <w:rPr>
          <w:i w:val="1"/>
          <w:rtl w:val="0"/>
        </w:rPr>
        <w:t xml:space="preserve">UPOV</w:t>
      </w:r>
      <w:r w:rsidR="00000000" w:rsidRPr="00000000" w:rsidDel="00000000">
        <w:rPr>
          <w:rtl w:val="0"/>
        </w:rPr>
        <w:t xml:space="preserve">) pārbaužu vadlīnijām.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Direktīvā 2025/1079 noteikts, ka dalībvalstis ne vēlāk kā līdz 2025. gada 31. decembrim pieņem un publicē normatīvos un administratīvos aktus, kas vajadzīgi, lai izpildītu šīs direktīvas prasības, un piemēro minētos noteikumus no 2026. gada 1. janvāra.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1229 noteikti </w:t>
      </w:r>
      <w:r w:rsidR="00000000" w:rsidRPr="00000000" w:rsidDel="00000000">
        <w:rPr>
          <w:i w:val="1"/>
          <w:rtl w:val="0"/>
        </w:rPr>
        <w:t xml:space="preserve">CVPO</w:t>
      </w:r>
      <w:r w:rsidR="00000000" w:rsidRPr="00000000" w:rsidDel="00000000">
        <w:rPr>
          <w:rtl w:val="0"/>
        </w:rPr>
        <w:t xml:space="preserve"> šķirnes pārbaudes protokoli un </w:t>
      </w:r>
      <w:r w:rsidR="00000000" w:rsidRPr="00000000" w:rsidDel="00000000">
        <w:rPr>
          <w:i w:val="1"/>
          <w:rtl w:val="0"/>
        </w:rPr>
        <w:t xml:space="preserve">UPOV</w:t>
      </w:r>
      <w:r w:rsidR="00000000" w:rsidRPr="00000000" w:rsidDel="00000000">
        <w:rPr>
          <w:rtl w:val="0"/>
        </w:rPr>
        <w:t xml:space="preserve"> šķirnes pārbaudes vadlīnijas, un atbilstoši tām notiek šķirnes atšķirīguma, viendabīguma un stabilitātes pārbaude. Noteikumu Nr. 1229 1. pielikumā ir iekļauti </w:t>
      </w:r>
      <w:r w:rsidR="00000000" w:rsidRPr="00000000" w:rsidDel="00000000">
        <w:rPr>
          <w:i w:val="1"/>
          <w:rtl w:val="0"/>
        </w:rPr>
        <w:t xml:space="preserve">CVPO </w:t>
      </w:r>
      <w:r w:rsidR="00000000" w:rsidRPr="00000000" w:rsidDel="00000000">
        <w:rPr>
          <w:rtl w:val="0"/>
        </w:rPr>
        <w:t xml:space="preserve">pārbaužu protokoli un </w:t>
      </w:r>
      <w:r w:rsidR="00000000" w:rsidRPr="00000000" w:rsidDel="00000000">
        <w:rPr>
          <w:i w:val="1"/>
          <w:rtl w:val="0"/>
        </w:rPr>
        <w:t xml:space="preserve">UPOV</w:t>
      </w:r>
      <w:r w:rsidR="00000000" w:rsidRPr="00000000" w:rsidDel="00000000">
        <w:rPr>
          <w:rtl w:val="0"/>
        </w:rPr>
        <w:t xml:space="preserve"> pārbaudes vadlīnijas lauksaimniecības, dārzeņu un augļaugu sugām. Gan </w:t>
      </w:r>
      <w:r w:rsidR="00000000" w:rsidRPr="00000000" w:rsidDel="00000000">
        <w:rPr>
          <w:i w:val="1"/>
          <w:rtl w:val="0"/>
        </w:rPr>
        <w:t xml:space="preserve">CVPO </w:t>
      </w:r>
      <w:r w:rsidR="00000000" w:rsidRPr="00000000" w:rsidDel="00000000">
        <w:rPr>
          <w:rtl w:val="0"/>
        </w:rPr>
        <w:t xml:space="preserve">protokoli, gan </w:t>
      </w:r>
      <w:r w:rsidR="00000000" w:rsidRPr="00000000" w:rsidDel="00000000">
        <w:rPr>
          <w:i w:val="1"/>
          <w:rtl w:val="0"/>
        </w:rPr>
        <w:t xml:space="preserve">UPOV</w:t>
      </w:r>
      <w:r w:rsidR="00000000" w:rsidRPr="00000000" w:rsidDel="00000000">
        <w:rPr>
          <w:rtl w:val="0"/>
        </w:rPr>
        <w:t xml:space="preserve"> pārbaudes vadlīnijas tiek regulāri pārskatītas.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CVPO </w:t>
      </w:r>
      <w:r w:rsidR="00000000" w:rsidRPr="00000000" w:rsidDel="00000000">
        <w:rPr>
          <w:rtl w:val="0"/>
        </w:rPr>
        <w:t xml:space="preserve">un </w:t>
      </w:r>
      <w:r w:rsidR="00000000" w:rsidRPr="00000000" w:rsidDel="00000000">
        <w:rPr>
          <w:i w:val="1"/>
          <w:rtl w:val="0"/>
        </w:rPr>
        <w:t xml:space="preserve">UPOV </w:t>
      </w:r>
      <w:r w:rsidR="00000000" w:rsidRPr="00000000" w:rsidDel="00000000">
        <w:rPr>
          <w:rtl w:val="0"/>
        </w:rPr>
        <w:t xml:space="preserve">ir atjauninājuši esošos protokolus un vadlīnijas attiecībā uz konkrētām lauksaimniecības kultūraugu un dārzeņu sugām. Šie atjauninājumi ir ietverti direktīvā 2025/1079.</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Nr. 1229 ir jāpārņem direktīvas 2025/1079 prasības, norādot atsauces uz jaunākajiem </w:t>
      </w:r>
      <w:r w:rsidR="00000000" w:rsidRPr="00000000" w:rsidDel="00000000">
        <w:rPr>
          <w:i w:val="1"/>
          <w:rtl w:val="0"/>
        </w:rPr>
        <w:t xml:space="preserve">CVPO</w:t>
      </w:r>
      <w:r w:rsidR="00000000" w:rsidRPr="00000000" w:rsidDel="00000000">
        <w:rPr>
          <w:rtl w:val="0"/>
        </w:rPr>
        <w:t xml:space="preserve"> pārbaužu protokoliem un </w:t>
      </w:r>
      <w:r w:rsidR="00000000" w:rsidRPr="00000000" w:rsidDel="00000000">
        <w:rPr>
          <w:i w:val="1"/>
          <w:rtl w:val="0"/>
        </w:rPr>
        <w:t xml:space="preserve">UPOV</w:t>
      </w:r>
      <w:r w:rsidR="00000000" w:rsidRPr="00000000" w:rsidDel="00000000">
        <w:rPr>
          <w:rtl w:val="0"/>
        </w:rPr>
        <w:t xml:space="preserve"> pārbaudes vadlīnijām konkrētām lauksaimniecības kultūraugu un dārzeņu sugām.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Sēklaudzētāji Latvijā ir izrādījuši interesi uzsākt audzēt jaunas lauksaimniecības kultūraugu sugas, tāpēc noteikumos ir jāiekļauj šo sugu šķirņu pārbaudes protokoli.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direktīvu 2025/1079 ir atjaunināti esošie </w:t>
      </w:r>
      <w:r w:rsidR="00000000" w:rsidRPr="00000000" w:rsidDel="00000000">
        <w:rPr>
          <w:i w:val="1"/>
          <w:rtl w:val="0"/>
        </w:rPr>
        <w:t xml:space="preserve">CVPO</w:t>
      </w:r>
      <w:r w:rsidR="00000000" w:rsidRPr="00000000" w:rsidDel="00000000">
        <w:rPr>
          <w:rtl w:val="0"/>
        </w:rPr>
        <w:t xml:space="preserve"> protokoli un </w:t>
      </w:r>
      <w:r w:rsidR="00000000" w:rsidRPr="00000000" w:rsidDel="00000000">
        <w:rPr>
          <w:i w:val="1"/>
          <w:rtl w:val="0"/>
        </w:rPr>
        <w:t xml:space="preserve">UPOV</w:t>
      </w:r>
      <w:r w:rsidR="00000000" w:rsidRPr="00000000" w:rsidDel="00000000">
        <w:rPr>
          <w:rtl w:val="0"/>
        </w:rPr>
        <w:t xml:space="preserve"> vadlīnijas attiecībā uz sarkano āboliņu, rapsi, ripsi, sparģeļiem, papriku jeb dārzeņpipariem, sakņu cigoriņiem, melonēm, gurķiem un īsaugļu gurķiem, parastajiem ķirbjiem, kabačiem, cukīni un patisoniem un dārza salātiem, kā arī </w:t>
      </w:r>
      <w:r w:rsidR="00000000" w:rsidRPr="00000000" w:rsidDel="00000000">
        <w:rPr>
          <w:i w:val="1"/>
          <w:rtl w:val="0"/>
        </w:rPr>
        <w:t xml:space="preserve">CVPO</w:t>
      </w:r>
      <w:r w:rsidR="00000000" w:rsidRPr="00000000" w:rsidDel="00000000">
        <w:rPr>
          <w:rtl w:val="0"/>
        </w:rPr>
        <w:t xml:space="preserve"> ir pārskatījis protokolus saldajiem ķiršiem un avenēm.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noteikumu projekts, lai pārņemtu direktīvas 2025/1079 prasības par atjauninātajiem </w:t>
      </w:r>
      <w:r w:rsidR="00000000" w:rsidRPr="00000000" w:rsidDel="00000000">
        <w:rPr>
          <w:i w:val="1"/>
          <w:rtl w:val="0"/>
        </w:rPr>
        <w:t xml:space="preserve">CVPO</w:t>
      </w:r>
      <w:r w:rsidR="00000000" w:rsidRPr="00000000" w:rsidDel="00000000">
        <w:rPr>
          <w:rtl w:val="0"/>
        </w:rPr>
        <w:t xml:space="preserve"> protokoliem un </w:t>
      </w:r>
      <w:r w:rsidR="00000000" w:rsidRPr="00000000" w:rsidDel="00000000">
        <w:rPr>
          <w:i w:val="1"/>
          <w:rtl w:val="0"/>
        </w:rPr>
        <w:t xml:space="preserve">UPOV</w:t>
      </w:r>
      <w:r w:rsidR="00000000" w:rsidRPr="00000000" w:rsidDel="00000000">
        <w:rPr>
          <w:rtl w:val="0"/>
        </w:rPr>
        <w:t xml:space="preserve"> vadlīnijām konkrētām lauksaimniecības kultūraugu un dārzeņu sugām. Ar noteikumu projekta 1.2. apakšpunktu noteikumu Nr. 1229 1. pielikums izteikts jaunā redakcijā, precizējot jaunākos 2025. gadā pārskatītos </w:t>
      </w:r>
      <w:r w:rsidR="00000000" w:rsidRPr="00000000" w:rsidDel="00000000">
        <w:rPr>
          <w:i w:val="1"/>
          <w:rtl w:val="0"/>
        </w:rPr>
        <w:t xml:space="preserve">CVPO </w:t>
      </w:r>
      <w:r w:rsidR="00000000" w:rsidRPr="00000000" w:rsidDel="00000000">
        <w:rPr>
          <w:rtl w:val="0"/>
        </w:rPr>
        <w:t xml:space="preserve">protokolu un </w:t>
      </w:r>
      <w:r w:rsidR="00000000" w:rsidRPr="00000000" w:rsidDel="00000000">
        <w:rPr>
          <w:i w:val="1"/>
          <w:rtl w:val="0"/>
        </w:rPr>
        <w:t xml:space="preserve">UPOV</w:t>
      </w:r>
      <w:r w:rsidR="00000000" w:rsidRPr="00000000" w:rsidDel="00000000">
        <w:rPr>
          <w:rtl w:val="0"/>
        </w:rPr>
        <w:t xml:space="preserve"> vadlīniju numurus un datumus tādām sugām kā sarkanais āboliņš, rapši, ripši, sparģeļi, paprika jeb dārzeņpipari, sakņu cigoriņi, melones, gurķi un īsaugļu gurķi, parastie ķirbji, kabači, cukīni, patisoni un dārza salāti. </w:t>
      </w:r>
      <w:r w:rsidR="00000000" w:rsidRPr="00000000" w:rsidDel="00000000">
        <w:rPr>
          <w:i w:val="1"/>
          <w:rtl w:val="0"/>
        </w:rPr>
        <w:t xml:space="preserve">CVPO </w:t>
      </w:r>
      <w:r w:rsidR="00000000" w:rsidRPr="00000000" w:rsidDel="00000000">
        <w:rPr>
          <w:rtl w:val="0"/>
        </w:rPr>
        <w:t xml:space="preserve">protokoli saldajiem ķiršiem un avenēm ir precizēti, ievērojot jaunāko </w:t>
      </w:r>
      <w:r w:rsidR="00000000" w:rsidRPr="00000000" w:rsidDel="00000000">
        <w:rPr>
          <w:i w:val="1"/>
          <w:rtl w:val="0"/>
        </w:rPr>
        <w:t xml:space="preserve">CVPO</w:t>
      </w:r>
      <w:r w:rsidR="00000000" w:rsidRPr="00000000" w:rsidDel="00000000">
        <w:rPr>
          <w:rtl w:val="0"/>
        </w:rPr>
        <w:t xml:space="preserve"> tīmekļvietnē https://cpvo.europa.eu/en/applications-and-examinations/technical-examinations/technical-protocols/cpvo-technical-protocols pieejamo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2025/1079 3. panta 1. punktā noteikts, ka dalībvalstis ne vēlāk kā līdz 2025. gada 31. decembrim pieņem un publicē normatīvos un administratīvos aktus, kas vajadzīgi, lai izpildītu šīs direktīvas prasības. Minētie noteikumi stājas spēkā 2026. gada 1. janvārī.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1.1. apakšpunktā norādīta atsauce uz direktīvu 2025/1079 un 2. punktā noteikts, ka noteikumu stājas spējā 2026. gada 1. janvārī.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Sēklaudzētāji Latvijā ir izrādījuši interesi uzsākt jaunu lauksaimniecības kultūraugu sugu – suņu smilgas un apiņu lucernas – audzēšanu. Šīs sugas ir minētas sēklaudzēšanas un sēklu tirdzniecības noteikumos, tāpēc noteikumu projektā ir jāiekļauj atsauce uz šo sugu protokoliem.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1.2. apakšpunkts (noteikumu Nr. 1229 I pielikuma 1. nodaļas 1.2. apakšpunkts) papildināts ar atsauci uz suņu smilgas un apiņu lucernas šķirņu pārbaudes protokoliem.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selekcionāriem, šķirnes uzturētājiem un to pilnvarotiem pārstāvjiem.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attieksies uz selekcionāriem, šķirnes uzturētājiem un to pilnvarotiem pārstāvjiem.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32025L1079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2025. gada 2. jūnija Īstenošanas direktīva (ES) 2025/1079, ar ko attiecībā uz noteiktu lauksaimniecības augu un dārzeņu šķirņu pārbaužu protokoliem groza Direktīvu 2003/90/EK un 2003/91/EK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2025. gada 2. jūnija Īstenošanas direktīva (ES) 2025/1079, ar ko attiecībā uz noteiktu lauksaimniecības augu un dārzeņu šķirņu pārbaužu protokoliem groza Direktīvu 2003/90/EK un 2003/91/EK</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2003/90/EK I un II pielikumu aizstāj ar šīs direktīvas pielikuma A daļas tekstu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 Noteikumu Nr. 1229 1. pielikuma I nodaļa "Laukaugu sugas"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Direktīvas 2003/91/EK I un II pielikumu aizstāj ar šīs direktīvas pielikuma B daļas tekstu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 Noteikumu Nr. 1229 1. pielikuma II nodaļa "Dārzeņu sugas"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1.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1.1. apakšpunkts un 2. punkts. Noteikumu Nr. 1229 Informatīvās atsauces uz Eiropas Savienības direktīvām 22.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panta 2. 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noteikts termiņš normatīvo aktu pieņemšanai un publicēšanai.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pārņemts, jo Latvijā laukaugu un dārzeņu sugām netiek veiktas atšķirīguma, viendabīguma un stabilitātes pārbaudes.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noteikta spēkā stāšanās kārtība.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jāpārņem; minēti direktīvas adresāti.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daļa (grozītais direktīvas 2003/90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 Noteikumu Nr. 1229 1. pielikuma I nodaļas 1.1.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ir atbrīvojums no atsevišķu sugu prasību pārņemšanas; sk. pie punkta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 daļa (grozītais direktīvas 2003/90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 Noteikumu Nr. 1229 1. pielikuma I nodaļas 1.2.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Latvijai ir atbrīvojums no atsevišķu sugu prasību pārņemšanas; sk. pie punkta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daļa (grozītais direktīvas 2003/91 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 Noteikumu Nr. 1229 1. pielikuma II nodaļas 2.1.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PIELIKUMA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 daļa (grozītas direktīvas 2003/91 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Nr. 1229 1. pielikuma II nodaļas 2.2. apakšpunkts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nesatur nacionālās tehniskās prasības un nav paziņojams Komisijai kā tehnisko noteikumu projekts atbilstoši Ministru kabineta 2010. gada 23. februāra instrukcijai Nr. 1 "Kārtība, kādā valsts pārvaldes iestādes sniedz informāciju par tehnisko noteikumu projektu".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ir atbrīvota no tādu sugu pārņemšanas savos normatīvajos aktos, kuras nav piemērotas Latvijas klimatiskajiem apstākļiem un valstī netiek audzētas, tāpēc nav pamata pārņemt direktīvā 2025/1079 noteikto šķirņu obligāti pārbaudāmās prasības tām sugām, kas Latvijā netiek audzētas. Atbrīvojums attiecas uz šādām sugām: </w:t>
            </w:r>
            <w:r w:rsidR="00000000" w:rsidRPr="00000000" w:rsidDel="00000000">
              <w:rPr>
                <w:sz w:val="24"/>
                <w:i w:val="1"/>
                <w:rtl w:val="0"/>
              </w:rPr>
              <w:t xml:space="preserve">Bromus catharticus</w:t>
            </w:r>
            <w:r w:rsidR="00000000" w:rsidRPr="00000000" w:rsidDel="00000000">
              <w:rPr>
                <w:sz w:val="24"/>
                <w:rtl w:val="0"/>
              </w:rPr>
              <w:t xml:space="preserve"> Vahl – akotu lāčauzu, </w:t>
            </w:r>
            <w:r w:rsidR="00000000" w:rsidRPr="00000000" w:rsidDel="00000000">
              <w:rPr>
                <w:sz w:val="24"/>
                <w:i w:val="1"/>
                <w:rtl w:val="0"/>
              </w:rPr>
              <w:t xml:space="preserve">Bromus sitchensis</w:t>
            </w:r>
            <w:r w:rsidR="00000000" w:rsidRPr="00000000" w:rsidDel="00000000">
              <w:rPr>
                <w:sz w:val="24"/>
                <w:rtl w:val="0"/>
              </w:rPr>
              <w:t xml:space="preserve"> Trin. – Sitkas lāčauzu, </w:t>
            </w:r>
            <w:r w:rsidR="00000000" w:rsidRPr="00000000" w:rsidDel="00000000">
              <w:rPr>
                <w:sz w:val="24"/>
                <w:i w:val="1"/>
                <w:rtl w:val="0"/>
              </w:rPr>
              <w:t xml:space="preserve">Medicago doliata</w:t>
            </w:r>
            <w:r w:rsidR="00000000" w:rsidRPr="00000000" w:rsidDel="00000000">
              <w:rPr>
                <w:sz w:val="24"/>
                <w:rtl w:val="0"/>
              </w:rPr>
              <w:t xml:space="preserve"> Carmign. – taisndzeloņu lucernu, </w:t>
            </w:r>
            <w:r w:rsidR="00000000" w:rsidRPr="00000000" w:rsidDel="00000000">
              <w:rPr>
                <w:sz w:val="24"/>
                <w:i w:val="1"/>
                <w:rtl w:val="0"/>
              </w:rPr>
              <w:t xml:space="preserve">Medicago italica </w:t>
            </w:r>
            <w:r w:rsidR="00000000" w:rsidRPr="00000000" w:rsidDel="00000000">
              <w:rPr>
                <w:sz w:val="24"/>
                <w:rtl w:val="0"/>
              </w:rPr>
              <w:t xml:space="preserve">(Mill.) Fiori – Itālijas lucernu, </w:t>
            </w:r>
            <w:r w:rsidR="00000000" w:rsidRPr="00000000" w:rsidDel="00000000">
              <w:rPr>
                <w:sz w:val="24"/>
                <w:i w:val="1"/>
                <w:rtl w:val="0"/>
              </w:rPr>
              <w:t xml:space="preserve">Medicago littoralis </w:t>
            </w:r>
            <w:r w:rsidR="00000000" w:rsidRPr="00000000" w:rsidDel="00000000">
              <w:rPr>
                <w:sz w:val="24"/>
                <w:rtl w:val="0"/>
              </w:rPr>
              <w:t xml:space="preserve">Rohde ex Loisel. – piekrastes lucernu, </w:t>
            </w:r>
            <w:r w:rsidR="00000000" w:rsidRPr="00000000" w:rsidDel="00000000">
              <w:rPr>
                <w:sz w:val="24"/>
                <w:i w:val="1"/>
                <w:rtl w:val="0"/>
              </w:rPr>
              <w:t xml:space="preserve">Medicago murex </w:t>
            </w:r>
            <w:r w:rsidR="00000000" w:rsidRPr="00000000" w:rsidDel="00000000">
              <w:rPr>
                <w:sz w:val="24"/>
                <w:rtl w:val="0"/>
              </w:rPr>
              <w:t xml:space="preserve">Willd. – dzeloņaino lucernu, </w:t>
            </w:r>
            <w:r w:rsidR="00000000" w:rsidRPr="00000000" w:rsidDel="00000000">
              <w:rPr>
                <w:sz w:val="24"/>
                <w:i w:val="1"/>
                <w:rtl w:val="0"/>
              </w:rPr>
              <w:t xml:space="preserve">Medicago polymorpha</w:t>
            </w:r>
            <w:r w:rsidR="00000000" w:rsidRPr="00000000" w:rsidDel="00000000">
              <w:rPr>
                <w:sz w:val="24"/>
                <w:rtl w:val="0"/>
              </w:rPr>
              <w:t xml:space="preserve"> L. – zobaino lucernu, </w:t>
            </w:r>
            <w:r w:rsidR="00000000" w:rsidRPr="00000000" w:rsidDel="00000000">
              <w:rPr>
                <w:sz w:val="24"/>
                <w:i w:val="1"/>
                <w:rtl w:val="0"/>
              </w:rPr>
              <w:t xml:space="preserve">Medicago rugosa</w:t>
            </w:r>
            <w:r w:rsidR="00000000" w:rsidRPr="00000000" w:rsidDel="00000000">
              <w:rPr>
                <w:sz w:val="24"/>
                <w:rtl w:val="0"/>
              </w:rPr>
              <w:t xml:space="preserve"> Desr. – krokaino lucernu, </w:t>
            </w:r>
            <w:r w:rsidR="00000000" w:rsidRPr="00000000" w:rsidDel="00000000">
              <w:rPr>
                <w:sz w:val="24"/>
                <w:i w:val="1"/>
                <w:rtl w:val="0"/>
              </w:rPr>
              <w:t xml:space="preserve">Medicago scutellata</w:t>
            </w:r>
            <w:r w:rsidR="00000000" w:rsidRPr="00000000" w:rsidDel="00000000">
              <w:rPr>
                <w:sz w:val="24"/>
                <w:rtl w:val="0"/>
              </w:rPr>
              <w:t xml:space="preserve"> (L.) Mill. – vairoga lucernu, </w:t>
            </w:r>
            <w:r w:rsidR="00000000" w:rsidRPr="00000000" w:rsidDel="00000000">
              <w:rPr>
                <w:sz w:val="24"/>
                <w:i w:val="1"/>
                <w:rtl w:val="0"/>
              </w:rPr>
              <w:t xml:space="preserve">Medicago truncatula</w:t>
            </w:r>
            <w:r w:rsidR="00000000" w:rsidRPr="00000000" w:rsidDel="00000000">
              <w:rPr>
                <w:sz w:val="24"/>
                <w:rtl w:val="0"/>
              </w:rPr>
              <w:t xml:space="preserve"> Gaertn. – nošķelto lucernu, </w:t>
            </w:r>
            <w:r w:rsidR="00000000" w:rsidRPr="00000000" w:rsidDel="00000000">
              <w:rPr>
                <w:sz w:val="24"/>
                <w:i w:val="1"/>
                <w:rtl w:val="0"/>
              </w:rPr>
              <w:t xml:space="preserve">Arachis hypogaea</w:t>
            </w:r>
            <w:r w:rsidR="00000000" w:rsidRPr="00000000" w:rsidDel="00000000">
              <w:rPr>
                <w:sz w:val="24"/>
                <w:rtl w:val="0"/>
              </w:rPr>
              <w:t xml:space="preserve"> L. – zemesriekstu, </w:t>
            </w:r>
            <w:r w:rsidR="00000000" w:rsidRPr="00000000" w:rsidDel="00000000">
              <w:rPr>
                <w:sz w:val="24"/>
                <w:i w:val="1"/>
                <w:rtl w:val="0"/>
              </w:rPr>
              <w:t xml:space="preserve">Gossypium</w:t>
            </w:r>
            <w:r w:rsidR="00000000" w:rsidRPr="00000000" w:rsidDel="00000000">
              <w:rPr>
                <w:sz w:val="24"/>
                <w:rtl w:val="0"/>
              </w:rPr>
              <w:t xml:space="preserve"> spp. – kokvilnu un </w:t>
            </w:r>
            <w:r w:rsidR="00000000" w:rsidRPr="00000000" w:rsidDel="00000000">
              <w:rPr>
                <w:sz w:val="24"/>
                <w:i w:val="1"/>
                <w:rtl w:val="0"/>
              </w:rPr>
              <w:t xml:space="preserve">Oryza sativa</w:t>
            </w:r>
            <w:r w:rsidR="00000000" w:rsidRPr="00000000" w:rsidDel="00000000">
              <w:rPr>
                <w:sz w:val="24"/>
                <w:rtl w:val="0"/>
              </w:rPr>
              <w:t xml:space="preserve"> L. – rīsiem. Atbrīvojums izriet no Eiropas Komisijas 2017. gada 16. marta Īstenošanas lēmuma (ES) 2017/478, ar kuru konkrētas dalībvalstis atbrīvo no pienākuma konkrētām sugām piemērot Padomes Direktīvas 6/401/EEK, 66/402/EEK, 68/193/EEK, 1999/105/EK, 2002/54/EK, 2002/55/EK un 2002/57/EK attiecīgi par lopbarības augu sēklu, graudaugu sēklu, vīnogulāju veģetatīvās pavairošanas materiāla, meža reproduktīvā materiāla, biešu sēklu, dārzeņu sēklu un eļļas augu un šķiedraugu sēklu tirdzniecības un ar kuru atceļ Komisijas Lēmumu (ES) 2010/680. </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https://vktap.mk.gov.lv/legal_acts/headers/b61f9735-92e5-4c9d-bc0c-d568767b2f91/public_participations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 2025. gada 14. līdz 28. jūlijam tika nodots sabiedriskajai apspriešanai Tiesību aktu publiskajā portālā, kā arī nosūtīts biedrībām "Lauksaimniecību organizāciju sadarbības padome" un "Zemnieku saeima". Par noteikumu projektu netika saņemti ne priekšlikumi, ne iebildumi.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25-TA-1513</w:t>
    </w:r>
    <w:r>
      <w:br/>
    </w:r>
    <w:r w:rsidR="00000000" w:rsidRPr="00000000" w:rsidDel="00000000">
      <w:rPr>
        <w:rtl w:val="0"/>
      </w:rPr>
      <w:t xml:space="preserve">Izdrukāts 29.07.2026. 22.35 - 4.0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25-TA-1513</w:t>
    </w:r>
    <w:r>
      <w:br/>
    </w:r>
    <w:r w:rsidR="00000000" w:rsidRPr="00000000" w:rsidDel="00000000">
      <w:rPr>
        <w:rtl w:val="0"/>
      </w:rPr>
      <w:t xml:space="preserve">Izdrukāts 29.07.2026. 22.35 - 4.0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anotācija_(ex_ante)_25-TA-1513.docx</dc:title>
</cp:coreProperties>
</file>

<file path=docProps/custom.xml><?xml version="1.0" encoding="utf-8"?>
<Properties xmlns="http://schemas.openxmlformats.org/officeDocument/2006/custom-properties" xmlns:vt="http://schemas.openxmlformats.org/officeDocument/2006/docPropsVTypes"/>
</file>