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pētījumu programmu "Aizsardzības inovāciju pētījumu programma" 2026.-2029.gadam"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(turpmāk – AM) ir izstrādājusi tiesību akta projektu "Par valsts pētījumu programmu "Aizsardzības inovāciju pētījumu programma" 2026.-2029. gadam" (turpmāk – Projekts),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Zinātniskās darbības likuma 13. panta otrās daļas 3. punktu, kas nosaka, ka Ministru kabinets (turpmāk – MK) apstiprina valsts pētījumu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2018. gada 4. septembra noteikumu Nr. 560 "Valsts pētījumu programmu projektu īstenošanas kārtība" (turpmāk – MK noteikumi Nr. 560) 4.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Apstiprināt valsts pētījumu programmu "Aizsardzības inovāciju pētījumu programma" 2026.-2029.gadam, nosakot tās virsmērķi, mērķi, uzdevumus, īstenošanas termiņu, finansējumu un rezultātus.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pētījumu programma "Aizsardzības inovāciju pētījumu programma" (turpmāk – Programma) ir nepieciešama, lai nodrošinātu Aizsardzības industrijas un inovāciju atbalsta stratēģijas 2025.-2036. gadam (turpmāk – Stratēģija) rīcības apakšvirziena "Aizsardzības nozares atbalsts pētniecībai" īstenošanu. Stratēģijā noteikts, ka līdz 2028. gadam aizsardzības pētniecības, tehnoloģiju attīstības un inovāciju finansējumam jāsasniedz 1,5 %, savukārt līdz 2036. gadam – 3 % no aizsardzības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noteikumiem Nr. 560 izveidotā Programmas stratēģiskā vadības padome 2025. gada 21. martā pieņēma lēmumu par jaunu Programmu un sniedza AM priekšlikumus par Programmas nosaukumu, virsmērķi, mērķi, īstenošanas laikposmu no 2025. līdz 2028. gadam, kā arī par uzdevumiem un sasniedzamiem rezultātiem. Attiecīgi AM sagatavoja tiesību akta projektu un uzsāka tā saskaņošanas procesu (25-TA-1222). Tiesību akta projekta virzība tika apturēta ar Ministru kabineta 2025. gada 19. augusta sēdes lēmumu. Līdz ar to </w:t>
      </w:r>
      <w:r w:rsidR="00000000" w:rsidRPr="00000000" w:rsidDel="00000000">
        <w:rPr>
          <w:b w:val="1"/>
          <w:rtl w:val="0"/>
        </w:rPr>
        <w:t xml:space="preserve">2025. gadā Programma netika ieviesta.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izmaiņas Eiropas un reģionālā drošības vidē, ir strauji pieaugušas prasības aizsardzības tehnoloģiju attīstībai un operatīvai ieviešanai aizsardzības spēju stiprināšanai. Krievijas pilna mēroga kara Ukrainā gūtā pieredze apliecina, ka kaujas spējas arvien lielākā mērā nosaka spēja ātri ieviest jaunus tehnoloģiskos risinājumus. Nacionālo bruņoto spēku (turpmāk – NBS) spēju attīstība paredz arvien plašāku inovatīvu tehnoloģiju integrēšanu bruņojumā, komandvadības un kontroles sistēmās, kaujas atbalsta un nodrošinājuma risinājumos, tādēļ ir</w:t>
      </w:r>
      <w:r w:rsidR="00000000" w:rsidRPr="00000000" w:rsidDel="00000000">
        <w:rPr>
          <w:b w:val="1"/>
          <w:rtl w:val="0"/>
        </w:rPr>
        <w:t xml:space="preserve"> būtiski nodrošināt pēctecīgu aizsardzības pētniecības un tehnoloģiju attīstības procesu, </w:t>
      </w:r>
      <w:r w:rsidR="00000000" w:rsidRPr="00000000" w:rsidDel="00000000">
        <w:rPr>
          <w:rtl w:val="0"/>
        </w:rPr>
        <w:t xml:space="preserve">uzsākot nākamās Programmas īstenošanu, kas ļautu </w:t>
      </w:r>
      <w:r w:rsidR="00000000" w:rsidRPr="00000000" w:rsidDel="00000000">
        <w:rPr>
          <w:b w:val="1"/>
          <w:rtl w:val="0"/>
        </w:rPr>
        <w:t xml:space="preserve">stiprināt valsts zinātnisko un tehnoloģisko bāzi aizsardzības jomā, lai veicinātu aizsardzības vajadzībām izmantojamu zināšanu, tehnoloģiju un risinājumu radīšanu, pārnesi un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AM jau īsteno mērķtiecīgu sadarbību ar augstskolām un zinātniskajām institūcijām, regulāri apzinot un operacionalizējot nacionālo pētniecības un tehnoloģiju attīstības potenciālu aizsardzības jomā. 2025. gadā AM atjaunoja sadarbības līgumus ar četrām zinātņu universitātēm (Latvijas Universitāti, Rīgas Tehnisko universitāti, Rīgas Stradiņa universitāti un Latvijas Biozinātņu un tehnoloģiju universitāti). 2026. gada sākumā tika izvērtētas arī reģionālo augstskolu kompetences un pētniecības kapacitāte. Izvērtējot situāciju, AM attiecīgi precizēja Programmas uzdevumus.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Iepriekšējās Programmas 2021.-2024. gadam ietvaros īstenotie projekti ir veicinājuši vairāku NBS kritiski nozīmīgu spēju attīstību</w:t>
      </w:r>
      <w:r w:rsidR="00000000" w:rsidRPr="00000000" w:rsidDel="00000000">
        <w:rPr>
          <w:rtl w:val="0"/>
        </w:rPr>
        <w:t xml:space="preserve">, tostarp spēku aizsardzības, karavīru izdzīvotspējas, kiberaizsardzības, elektromagnētiskā spektra pārvaldības un bezpilota sistēmu noturības jomās. Projektu rezultātā radītie risinājumi stiprina NBS spēju darboties elektroniskās karadarbības apstākļos, paaugstina kritiskās infrastruktūras, sakaru un informācijas sistēmu aizsardzību pret elektromagnētiskiem un kiberdraudiem, uzlabo bezpilota sistēmu aizsardzību pret jaunās paaudzes apdraudējumiem, kā arī sekmē karavīru individuālās aizsardzības, situācijas apzināšanās un veselības monitoringa spējas.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"Uzlabota elektromagnētiskā aizsardzība un kiberdrošība lauka apstākļos izmantojot inovatīvas ekranēšanas, uzraudzības datu iznīcināšanas tehnoloģijas" devis ievērojamu ieguldījumu elektromagnētiskās aizsardzības un kiberdrošības jomās. Projektā demonstrētā zinātniskā izcilība, jo īpaši EMI ekranēšanas tehnoloģiju izstrādē un pielietošanā. Inovatīvu elektromagnētiskās aizsardzības materiālu izstrāde un to pielietojums elektroniskajās militārās iekārtās ir inovācijas salīdzinājumā ar esošajām tehnoloģijām. To vēl vairāk veicināja MI iespējotu radiouzraudzības risinājumu integrācija.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"Kombinēts viegls un augstas temperatūras izturīgs hibrīda kompozīts kombinētai dronu aizsardzībai no tiešās enerģijas ieročiem" ir aktuāls šībrīža ģeopolitiskajā situācijā, kad ir liels pieprasījums vieglu un vienlaikus ar elektromagnētisko ekranējumu un augstas temperatūras izturīgu materiālu izstrādei. Projekts sniedza ieguldījumu progresīvu materiālu izstrādē, lai pasargātu militāro tehniku no elektromagnētisko traucējumu un virzītās enerģijas ieroču uzbrukumiem. Projekts risināja kritiskus izaicinājumus, kas saistīti ar nepareizu EMI ekranizāciju, kas var radīt nopietnus sakaru sistēmu bojājumus un draudus drošībai. Projekta inovatīvā pieeja ietver hibrīda kompozītmateriāla projektēšanu, kas sastāv no kausētas metalizētas keramikas dobām mikrosfērām (CHM) ar zemu siltumvadītspēju.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Projektā "Ar grafēna un silīcija aerogelu uzlabotas vieglas ballistiskās aizsargvestes prototips ar iestrādātu vairākzonu spiedienjutīgu slāni triecienu atklāšanai" tika uzlabotas aizsargvestes auduma ballistiskās termoregulācijas īpašības, samazinot svaru, bloķējot infrasarkano starojumu un pievienojot gudrās funkcijas veselības novērošanai. Projektam tika ieviesti inovatīvi risinājumi, kas ir ievērojams pavērsiens funkcionālo ballistisko audumu attīstībā. Tika izveidots matricas tipa spiediena sensors (MTPS). Projekta ietvaros tika izstrādāta moduļu ballistiskās aizsardzības veste, ņemot vērā NATO STANAG prasības un ergonomiskos faktorus dažādiem karavīru ķermeņa tipiem. Šīs inovācijas nodrošina jaunas pieejas ballistisko aizsardzības līdzekļu uzlabošanai un sensoru tehnoloģiju integrēšanai aizsargaprīkojumā, kas iespējams, ietekmēs karavīru aprīkojuma sistēmu dizainu un funkcionalitāti visā pasaulē.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iepriekšējās Programmas ietvaros izstrādātās tehnoloģijas un prototipi veicina NBS kaujas spēju, noturības un tehnoloģiskās priekšrocības attīstību, vienlaikus radot priekšnosacījumus to tālākai pilnveidei un ieviešanai aizsardzības nozarē. Projektos tika izstrādātas jaunas tehnoloģijas, metodes un prototipi, kas atbilst mūsdienu valsts aizsardzības vajadzībām un NATO noteiktajām prioritātēm.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jaunas Programmas apstiprināšanas nav iespējams uzsākt aizsardzības pētniecībai, tehnoloģiju attīstībai un inovācijām paredzētā finansējuma izmantošanu, kas ir iezīmēts Stratēģijas īstenošanas plānā, tādējādi </w:t>
      </w:r>
      <w:r w:rsidR="00000000" w:rsidRPr="00000000" w:rsidDel="00000000">
        <w:rPr>
          <w:u w:val="single"/>
          <w:rtl w:val="0"/>
        </w:rPr>
        <w:t xml:space="preserve">netiek pilnvērtīgi izmantots Latvijas pētniecības organizāciju potenciāls valsts aizsardzībai un drošībai nozīmīgu izaicinājumu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uzsākšanas atlikšana samazina arī Latvijas pētniecības organizāciju un augstskolu spēju sagatavot konkurētspējīgus projektus dalībai starptautiskajās pētniecības un inovāciju programmās, tostarp Eiropas Aizsardzības fonda un NATO DIANA iniciatīvās. Tādējādi tiek </w:t>
      </w:r>
      <w:r w:rsidR="00000000" w:rsidRPr="00000000" w:rsidDel="00000000">
        <w:rPr>
          <w:u w:val="single"/>
          <w:rtl w:val="0"/>
        </w:rPr>
        <w:t xml:space="preserve">mazinātas iespējas veidot sinerģiju starp nacionālo un starptautisko finansējumu un pilnvērtīgi sasniegt Stratēģijā noteiktos mērķus aizsardzības pētniecības un tehnoloģiju attīstības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Programmu sākotnēji bija plānots uzsākt 2025. gadā, tomēr tā netika ieviesta. Līdz ar to nav iespējams nodrošināt Stratēģijā paredzēto Programmas īstenošanu sākotnēji plānotajā laikposmā (2025.-2028. gads). Projektu īstenošana  līdz 2028. gada beigām nav iespējama. Īsāks projektu īstenošanas periods var negatīvi ietekmēt projektu kvalitāti, projektos sasniedzamo risinājumu tehnoloģiskās gatavības līmeni (turpmāk - TGL), rezultātu validāciju un praktisko pielietojamību.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secināms no Valsts drošības dienesta publiski paustajiem vērtējumiem, ārvalstu izlūkošanas un drošības dienesti Latvijā turpina vākt informāciju par valsts drošībai un aizsardzībai nozīmīgām jomām, tostarp zinātnes un tehnoloģiju attīstības virzieniem. Vienlaikus Programmu ietvaros īstenotie pētījumi var radīt zināšanas, datus un rezultātus, kuru nekontrolēta izpaušana var radīt riskus valsts drošības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MK noteikumi Nr. 560 nodrošina vispārējo ietvaru valsts pētījumu programmu īstenošanai, </w:t>
      </w:r>
      <w:r w:rsidR="00000000" w:rsidRPr="00000000" w:rsidDel="00000000">
        <w:rPr>
          <w:u w:val="single"/>
          <w:rtl w:val="0"/>
        </w:rPr>
        <w:t xml:space="preserve">aizsardzības nozares pētījumu specifika prasa īpašu uzmanību informācijas drošības un konfidencialitātes jautājumiem</w:t>
      </w:r>
      <w:r w:rsidR="00000000" w:rsidRPr="00000000" w:rsidDel="00000000">
        <w:rPr>
          <w:rtl w:val="0"/>
        </w:rPr>
        <w:t xml:space="preserve">. Tādēļ Programmas īstenošanas procesā nepieciešams izmantot spēkā esošajā regulējumā paredzētās iespējas noteikt un piemērot atbilstošas informācijas drošības prasības, tostarp attiecībā uz ekspertu piesaisti, datu pārvaldību, pētījumu rezultātu publiskošanu un citiem ar informācijas apriti saistītiem procesiem, tādējādi mazinot potenciālos drošības riskus un nodrošinot valsts drošības interešu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sagatavots, lai apstiprinātu "Aizsardzības inovāciju pētījumu programmu" 2026.-2029. gadam, nosakot tās virsmērķi, mērķi, uzdevumus, īstenošanas laiku, finansējuma apmēru un sasniedzamos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Zinātniskās darbības likuma 35. panta pirmo un otro daļu un MK noteikumu Nr. 560  3., 4. un 6. punktu, Programmu izstrādāja AM, sadarbojoties ar Programmas stratēģisko vadības padomi, Izglītības un zinātnes ministriju (turpmāk – IZM), Latvijas Zinātņu akadēmiju, un Latvijas Zinātnes padomi (turpmāk – LZP).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(turpmāk - </w:t>
      </w:r>
      <w:r w:rsidR="00000000" w:rsidRPr="00000000" w:rsidDel="00000000">
        <w:rPr>
          <w:b w:val="1"/>
          <w:rtl w:val="0"/>
        </w:rPr>
        <w:t xml:space="preserve">NBS) spēju stiprināšana, ir sasniedzams ar mērķtiecīgiem ieguldījumiem aizsardzības pētniecībā un tehnoloģiju attīstībā</w:t>
      </w:r>
      <w:r w:rsidR="00000000" w:rsidRPr="00000000" w:rsidDel="00000000">
        <w:rPr>
          <w:rtl w:val="0"/>
        </w:rPr>
        <w:t xml:space="preserve">. Mūsdienu militāro spēju attīstība arvien lielākā mērā balstās nevis uz esošu risinājumu iegādi, bet gan uz spēju savlaicīgi apgūt un integrēt jaunās un revolucionārās tehnoloģijas, kas nosaka nākotnes kaujas lauka priekšrocības. Tieši tādās jomās kā mākslīgais intelekts (MI), autonomās sistēmas, kvantu tehnoloģijas, kosmosa tehnoloģijas un progresīvās kiberspējas veidojas nākamās paaudzes militārās spējas, kuras šobrīd prioritāri attīsta NATO sabiedrotie un potenciālie pretinieki. Programma nodrošina pilnu inovāciju attīstības ciklu no zināšanu radīšanas un lietišķajiem pētījumiem līdz tehnoloģiju demonstrēšanai, pārnesei uz industriju un tālākai spēju attīstībai NBS vajadzībām. Bez šāda sākotnējā pētniecības posma nav iespējams radīt jaunus risinājumus, kurus vēlāk var attīstīt un ražot Latvijas aizsardzības industrija. Vienlaikus jāņem vērā, ka Latvijas industrijas kapacitāte ir fokusēta galvenokārt uz produktu izstrādi un inženiertehnisko risinājumu attīstību, savukārt augsta riska un augstas pievienotās vērtības pētniecības virzieni, piemēram, kvantu tehnoloģijas, progresīvi mākslīgā intelekta risinājumi vai jaunas paaudzes sakaru tehnoloģijas, prasa zinātnisko institūciju un augstskolu iesaisti. Tādēļ valsts ieguldījumi pētniecībā ir priekšnoteikums tam, lai nākotnē rastos tehnoloģijas, kuras industrija spēj komercializēt un integrēt NBS spējās.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 nodrošinās aizsardzības pētniecībai, tehnoloģiju attīstībai un inovācijām paredzētā </w:t>
      </w:r>
      <w:r w:rsidR="00000000" w:rsidRPr="00000000" w:rsidDel="00000000">
        <w:rPr>
          <w:b w:val="1"/>
          <w:rtl w:val="0"/>
        </w:rPr>
        <w:t xml:space="preserve">valsts finansējuma ieguldīšanu prioritārajās aizsardzības tehnoloģiju jomās</w:t>
      </w:r>
      <w:r w:rsidR="00000000" w:rsidRPr="00000000" w:rsidDel="00000000">
        <w:rPr>
          <w:rtl w:val="0"/>
        </w:rPr>
        <w:t xml:space="preserve">, veicinot sadarbību starp zinātniskajām institūcijām, augstskolām, industriju un aizsardzības nozari, kā arī radīto risinājumu turpmāku attīstību un dalību nacionālajās un starptautiskajās pētniecības un inovāciju programmās. Programma ir vērsta uz valsts aizsardzības pētniecības un tehnoloģiskās kapacitātes stiprināšanu, sekmējot aizsardzības vajadzībām izmantojamu zināšanu, tehnoloģiju un risinājumu attīstību un to virzību uz praktisku pielietojumu. Programmas ietvaros paredzēts atbalstīt lietišķo pētniecību un tehnoloģiju izstrādi NBS spēju attīstībai nozīmīgās jomās, nodrošinot sasaisti ar Stratēģijā noteiktajiem aizsardzības inovāciju un tehnoloģiju attīstības virzieniem. Vienlaikus tiks veidots pamats tehnoloģiju pārnesei, turpmākai attīstībai un Latvijas pētniecības organizāciju dalībai starptautiskās pētniecības un inovāciju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Programmas uzdevums</w:t>
      </w:r>
      <w:r w:rsidR="00000000" w:rsidRPr="00000000" w:rsidDel="00000000">
        <w:rPr>
          <w:rtl w:val="0"/>
        </w:rPr>
        <w:t xml:space="preserve"> ir atbilstošs NBS spēju attīstības vajadzībām, NATO un Eiropas Savienības aizsardzības tehnoloģiju attīstības tendencēm un Stratēģijai. </w:t>
      </w:r>
      <w:r w:rsidR="00000000" w:rsidRPr="00000000" w:rsidDel="00000000">
        <w:rPr>
          <w:b w:val="1"/>
          <w:rtl w:val="0"/>
        </w:rPr>
        <w:t xml:space="preserve">Atbalsts paredzēts pētījumiem tādās jomās kā mākslīgais intelekts (MI) un kiberaizsardzība, autonomās sistēmas un pret-bezpilota risinājumi, kvantu tehnoloģijas, kosmosa tehnoloģijas, militārā medicīna, personāla noturība un militārā mobilitāte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 un kiberaizsardzība: kiberaizsardzības automatizācija, cilvēka līdzdalības (HITL) drošības sistēmas, digitālie dvīņi operacionālajām vidēm, datu sapludināšana un prognozējošā analītika;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autonomās sistēmas, navigācija un pret-bezpilota spējas: MI navigācija GNSS traucētā vidē, iegultais MI autonomās platformās un daudzdomēnu bezpilota sistēmas, dronu atklāšana, klasifikācija un neitralizācija (C-UAS), dronu spieti un sadarbības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kvantu tehnoloģijas: kvantu šifrēšana un kvantu skaitļošana, kvantu interneta risinājumi, pēckvantu kriptogrāfijas (PQC) risinājumi kritiskajās aizsardzības sistēmās, kvantu optimizācijas algoritmi un sinhronizācijas, vadības un elektronikas risinājumi kvantu sakaru mezgliem;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kosmosā bāzēti sakaru un novērošanas risinājumi, lai nodrošinātu operatīvās spējas (komandvadību, izlūkošanu, novērošanu un atpazīšanu) un tehnisko noturību (informācijas integritāti, drošus sakaru kanālus un satelītnavigācijas sistēmu darbību signālu traucēšanas, viltošanas vai nepieejamības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militārā medicīna karavīru snieguma un izdzīvošanas uzlabošanai: medicīniskie pretpasākumi ķīmisko, bioloģisko, radioloģisko un kodoldraudu (CBRN) apdraudējumam, kaujaslauka medicīna un ievainojumu aprūpe, farmācija, biotehnoloģijas, biomateriāli un audu reģenerācija, fāgu terapija un infekciju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personāla veiktspēja, kognitīvā noturība un psiholoģiskā aizsardzība: risinājumi karavīru fiziskās un psiholoģiskās noturības stiprināšanai, nodrošinot kognitīvās slodzes monitoringu un veiktspējas optimizāciju operacionālajā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militārā mobilitāte: operatīvā reljefa un grunts analīze militārajai mobilitātei un pretmobilitāte, operacionālās vides modelēšana un simulācija, teritorijas caurlaidības modelēšana, kritiskās infrastruktūras aizsardzība un noturība.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w:t>
      </w:r>
      <w:r w:rsidR="00000000" w:rsidRPr="00000000" w:rsidDel="00000000">
        <w:rPr>
          <w:b w:val="1"/>
          <w:rtl w:val="0"/>
        </w:rPr>
        <w:t xml:space="preserve">eguldījums</w:t>
      </w:r>
      <w:r w:rsidR="00000000" w:rsidRPr="00000000" w:rsidDel="00000000">
        <w:rPr>
          <w:b w:val="1"/>
          <w:rtl w:val="0"/>
        </w:rPr>
        <w:t xml:space="preserve"> šajās pētniecības jomās</w:t>
      </w:r>
      <w:r w:rsidR="00000000" w:rsidRPr="00000000" w:rsidDel="00000000">
        <w:rPr>
          <w:rtl w:val="0"/>
        </w:rPr>
        <w:t xml:space="preserve"> veicina aizsardzības nozarei nozīmīgu zināšanu, tehnoloģiju un risinājumu radīšanu, kas var sniegt pienesumu aizsardzības industrijas attīstībai, kā arī NBS operacionālo spēju attīstībai, nodrošinot priekšnosacījumus kaujas spēju modernizācijai un tehnoloģiskā pārākuma uzturēšanai strauji mainīgajā drošības vidē. Risinājumi MI, kiberaizsardzības, autonomo sistēmu, navigācijas un pretbezpilota spēju jomās </w:t>
      </w:r>
      <w:r w:rsidR="00000000" w:rsidRPr="00000000" w:rsidDel="00000000">
        <w:rPr>
          <w:b w:val="1"/>
          <w:rtl w:val="0"/>
        </w:rPr>
        <w:t xml:space="preserve">sekmēs komandvadības un kontroles, izlūkošanas, novērošanas, mērķu iegūšanas, precīzās uguns efektivitātes un kaujas lauka situācijas izpratnes spēju</w:t>
      </w:r>
      <w:r w:rsidR="00000000" w:rsidRPr="00000000" w:rsidDel="00000000">
        <w:rPr>
          <w:rtl w:val="0"/>
        </w:rPr>
        <w:t xml:space="preserve"> attīstību. Kvantu tehnoloģiju, kā arī kosmosā bāzētu sakaru un novērošanas risinājumu attīstība stiprinās</w:t>
      </w:r>
      <w:r w:rsidR="00000000" w:rsidRPr="00000000" w:rsidDel="00000000">
        <w:rPr>
          <w:b w:val="1"/>
          <w:rtl w:val="0"/>
        </w:rPr>
        <w:t xml:space="preserve"> drošus sakarus, informācijas aizsardzību, navigācijas noturību un izlūkošanas spējas</w:t>
      </w:r>
      <w:r w:rsidR="00000000" w:rsidRPr="00000000" w:rsidDel="00000000">
        <w:rPr>
          <w:rtl w:val="0"/>
        </w:rPr>
        <w:t xml:space="preserve">. Savukārt militārās medicīnas, personāla veiktspējas, kognitīvās noturības un psiholoģiskās aizsardzības pētījumi veicinās</w:t>
      </w:r>
      <w:r w:rsidR="00000000" w:rsidRPr="00000000" w:rsidDel="00000000">
        <w:rPr>
          <w:b w:val="1"/>
          <w:rtl w:val="0"/>
        </w:rPr>
        <w:t xml:space="preserve"> personāla izdzīvotspēju, noturību un kaujas spēju saglabāšanu ilgstošās militārās operācijās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ir norādījusi, ka attiecībā uz pētījumiem kosmosa nozarē, svarīga ir sinerģija ar Eiropas Kosmosa aģentūras (turpmāk –  EKA) pētniecības un tehnoloģiju attīstības iniciatīvām. LZP sadarbībā ar IZM nodrošinās, ka tiek izslēgts pētniecības aktivitāšu dublēšanās risks un sekmēta starptautiskās sadarbības iespēju izmantošanu Eiropas kosmosa nozarē aizsardzības un drošības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 ietvaros tiks radītas jaunas vai pilnveidotas tehnoloģijas, inovatīvi risinājumi un produktu prototipi, veicināta intelektuālā īpašuma radīšana un nostiprināšana, kā arī sagatavoti priekšnoteikumi tehnoloģiju turpmākai attīstībai un praktiskai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Programmas uzraudzības</w:t>
      </w:r>
      <w:r w:rsidR="00000000" w:rsidRPr="00000000" w:rsidDel="00000000">
        <w:rPr>
          <w:b w:val="1"/>
          <w:rtl w:val="0"/>
        </w:rPr>
        <w:t xml:space="preserve"> </w:t>
      </w:r>
      <w:r w:rsidR="00000000" w:rsidRPr="00000000" w:rsidDel="00000000">
        <w:rPr>
          <w:rtl w:val="0"/>
        </w:rPr>
        <w:t xml:space="preserve">ietvaros tiks vērtēta projektu virzība uz attiecīgu TGL, intelektuālā īpašuma radīšana, zinātnisko publikāciju sagatavošana, tehnoloģiju demonstrēšana un validēšana, cilvēkkapitāla attīstības rezultāti, kā arī sadarbība ar citiem aizsardzības nozares ekosistēmas dalībniekiem. Vienlaikus tiks vērtēta Programmas ietvaros sekmētā pētniecības rezultātu pārnese uz praktisku pielietojumu un to turpmākā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Programmas ietekme</w:t>
      </w:r>
      <w:r w:rsidR="00000000" w:rsidRPr="00000000" w:rsidDel="00000000">
        <w:rPr>
          <w:b w:val="1"/>
          <w:rtl w:val="0"/>
        </w:rPr>
        <w:t xml:space="preserve"> </w:t>
      </w:r>
      <w:r w:rsidR="00000000" w:rsidRPr="00000000" w:rsidDel="00000000">
        <w:rPr>
          <w:rtl w:val="0"/>
        </w:rPr>
        <w:t xml:space="preserve">izpaudīsies valsts aizsardzības pētniecības un tehnoloģiskās kapacitātes stiprināšanā, aizsardzības vajadzībām izmantojamu tehnoloģiju un risinājumu attīstībā, kā arī Latvijas pētnieku, sadarbības partneru konkurētspējas paaugstināšanā starptautiskajās pētniecības un inovāciju programmās. Būtisks Programmas rezultāts būs arī sagatavoti projektu pieteikumi nākamajiem pētniecības un attīstības posmiem.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560 15. pants paredz, ka Programmas konkursa nolikumu izstrādā LZP nozares ministrijas uzdevumā. Ņemot vērā laika ierobežojumus Programmas uzsākšanai, plānots, ka AM cieši sadarbosies ar LZP konkursa nolikuma izstrādē, tai skaitā izstrādājot </w:t>
      </w:r>
      <w:r w:rsidR="00000000" w:rsidRPr="00000000" w:rsidDel="00000000">
        <w:rPr>
          <w:u w:val="single"/>
          <w:rtl w:val="0"/>
        </w:rPr>
        <w:t xml:space="preserve">nozares kritērijus </w:t>
      </w:r>
      <w:r w:rsidR="00000000" w:rsidRPr="00000000" w:rsidDel="00000000">
        <w:rPr>
          <w:rtl w:val="0"/>
        </w:rPr>
        <w:t xml:space="preserve">un to vērtēšanas metodiku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Nolikumā tiks noteikti šādi projekta līmeņa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sasniedzamā TGL diapazons katrā pētniecības jomā, savukārt projekta līmenī TGL tiks noteikts atbilstoši plānotajām darbībām un tehnoloģijas attīstības posmam (tas var atšķirties atkarībā no projekta mērķiem un rezultāta, taču tam ir jāiekļaujas nolikumā noteiktajā diapazonā);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dalība ar demonstrācijām aizsardzības un drošības nozares konferencēs, eksperimentālajos pasākumos izstādēs Latvijā vai ārvalstīs, tai skaitā NATO inovāciju pasākumos (</w:t>
      </w:r>
      <w:r w:rsidR="00000000" w:rsidRPr="00000000" w:rsidDel="00000000">
        <w:rPr>
          <w:i w:val="1"/>
          <w:rtl w:val="0"/>
        </w:rPr>
        <w:t xml:space="preserve">DiBaX –Digital Backbone eXperimentation</w:t>
      </w:r>
      <w:r w:rsidR="00000000" w:rsidRPr="00000000" w:rsidDel="00000000">
        <w:rPr>
          <w:rtl w:val="0"/>
        </w:rPr>
        <w:t xml:space="preserve">) un NATO Zinātnes un tehnoloģiju organizācijas (</w:t>
      </w:r>
      <w:r w:rsidR="00000000" w:rsidRPr="00000000" w:rsidDel="00000000">
        <w:rPr>
          <w:i w:val="1"/>
          <w:rtl w:val="0"/>
        </w:rPr>
        <w:t xml:space="preserve">STO</w:t>
      </w:r>
      <w:r w:rsidR="00000000" w:rsidRPr="00000000" w:rsidDel="00000000">
        <w:rPr>
          <w:rtl w:val="0"/>
        </w:rPr>
        <w:t xml:space="preserve">) ekspertu līmeņa formātos un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intelektuālais īpašums: izstrādāti vai pieteikti patenti un nostiprinātas programmatūras autortiesības;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zinātniskās publikācijas: augstas citējamības indeksa (Q1/Q2) nozares žurnālos publicēti vai iesniegti zinātniskie raksti, ievērojot Informācijas atklātības likuma 5. pantā noteiktos ierobežojumus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cilvēkkapitāla ataudze: aizstāvēta vai iesniegta aizstāvēšanai doktora disertācija (promocijas darbs) vai sekmīgi aizstāvēts maģistra darbs projekta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šādi p</w:t>
      </w:r>
      <w:r w:rsidR="00000000" w:rsidRPr="00000000" w:rsidDel="00000000">
        <w:rPr>
          <w:u w:val="single"/>
          <w:rtl w:val="0"/>
        </w:rPr>
        <w:t xml:space="preserve">rojektu ietekmes rādītāji</w:t>
      </w:r>
      <w:r w:rsidR="00000000" w:rsidRPr="00000000" w:rsidDel="00000000">
        <w:rPr>
          <w:rtl w:val="0"/>
        </w:rPr>
        <w:t xml:space="preserve"> (pieļaujami ir arī citi papildu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tehnoloģiju pārnese: izstrādāts tehnoloģisks demonstrators, kas var tikt attīstīts par prototipu, produktu vai praktisku aizsardzības spēju stiprinošu risinājumu, izstrādātie algoritmi vai metodes, kas nodotas attīstībai uzņēmumiem vai aizsardzības struktūrām praktiskam pielietojumam;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starptautiskā sadarbība un turpmākā attīstība: sagatavots projekta pieteikums starptautiska konsorcija ietvaros nākamajam pētniecības, attīstības vai komercializācijas posmam, tai skaitā pieteikums Eiropas aizsardzības fondā, NATO DIANA programmā (Aizsardzības inovāciju akcelerators Ziemeļatlantijas reģionam), Eiropas Kosmosa aģentūras programmās, "Apvārsnis Eiropa" un citās attiecīgajās pētniecības un inovāciju iniciatīvās).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Programmas administrēšanas procesu, MK noteikumos Nr. 560 noteiktās prasības un nepieciešamību nodrošināt projektu ietvaros plānoto rezultātu sasniegšanu, </w:t>
      </w:r>
      <w:r w:rsidR="00000000" w:rsidRPr="00000000" w:rsidDel="00000000">
        <w:rPr>
          <w:b w:val="1"/>
          <w:rtl w:val="0"/>
        </w:rPr>
        <w:t xml:space="preserve">Programmas īstenošanas laikaposms ir no 2026. līdz 2029. gadam</w:t>
      </w:r>
      <w:r w:rsidR="00000000" w:rsidRPr="00000000" w:rsidDel="00000000">
        <w:rPr>
          <w:rtl w:val="0"/>
        </w:rPr>
        <w:t xml:space="preserve">. Šāds īstenošanas periods ir nepieciešams, lai nodrošinātu projektu izpildi, Programmas rezultātu izvērtēšanu, projektu noslēguma pārskatu izskatīšanu un noslēguma norēķinu veikšanu atbilstoši normatīvajam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Programmas</w:t>
      </w:r>
      <w:r w:rsidR="00000000" w:rsidRPr="00000000" w:rsidDel="00000000">
        <w:rPr>
          <w:b w:val="1"/>
          <w:rtl w:val="0"/>
        </w:rPr>
        <w:t xml:space="preserve"> projektu īstenošanas maksimālais laiks ir 31 mēnesis (no 2026. gada decembra līdz 2029. gada jūlijam).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ieviešanai tiks izsludināts </w:t>
      </w:r>
      <w:r w:rsidR="00000000" w:rsidRPr="00000000" w:rsidDel="00000000">
        <w:rPr>
          <w:rtl w:val="0"/>
        </w:rPr>
        <w:t xml:space="preserve"> </w:t>
      </w:r>
      <w:r w:rsidR="00000000" w:rsidRPr="00000000" w:rsidDel="00000000">
        <w:rPr>
          <w:b w:val="1"/>
          <w:rtl w:val="0"/>
        </w:rPr>
        <w:t xml:space="preserve">viens konkursa uzsaukums 2026. gada rudenī.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īstenošanu paredzēts </w:t>
      </w:r>
      <w:r w:rsidR="00000000" w:rsidRPr="00000000" w:rsidDel="00000000">
        <w:rPr>
          <w:b w:val="1"/>
          <w:rtl w:val="0"/>
        </w:rPr>
        <w:t xml:space="preserve">uzsākt ne vēlāk kā 2026. gada decembrī</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Programmā plānots atbalstīt </w:t>
      </w:r>
      <w:r w:rsidR="00000000" w:rsidRPr="00000000" w:rsidDel="00000000">
        <w:rPr>
          <w:b w:val="1"/>
          <w:rtl w:val="0"/>
        </w:rPr>
        <w:t xml:space="preserve">vismaz 12 lietišķās pētniecības projektus</w:t>
      </w:r>
      <w:r w:rsidR="00000000" w:rsidRPr="00000000" w:rsidDel="00000000">
        <w:rPr>
          <w:rtl w:val="0"/>
        </w:rPr>
        <w:t xml:space="preserve">, tādējādi nodrošinot Stratēģijā paredzēto rezultatīvo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kopējais</w:t>
      </w:r>
      <w:r w:rsidR="00000000" w:rsidRPr="00000000" w:rsidDel="00000000">
        <w:rPr>
          <w:b w:val="1"/>
          <w:rtl w:val="0"/>
        </w:rPr>
        <w:t xml:space="preserve"> finansējums ir 6 miljoni </w:t>
      </w:r>
      <w:r w:rsidR="00000000" w:rsidRPr="00000000" w:rsidDel="00000000">
        <w:rPr>
          <w:b w:val="1"/>
          <w:i w:val="1"/>
          <w:rtl w:val="0"/>
        </w:rPr>
        <w:t xml:space="preserve">euro</w:t>
      </w:r>
      <w:r w:rsidR="00000000" w:rsidRPr="00000000" w:rsidDel="00000000">
        <w:rPr>
          <w:b w:val="1"/>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Programmu neieviešot, Aizsardzības industrijas un inovāciju atbalsta stratēģijas 2025.-2036. gadam ieviešanas plānā noteikto rezultatīvo rādītāju sasniegšana kļūst problemātiska.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Programmai noteiktajiem mērķiem un ietekmes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Novērtējumu veiks LZP, ziņojums tiks izskatīts Programmas īstenošanas un uzraudzības komisijā un apstiprināts Programmas stratēģiskās vadības padomē.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Programmai noteiktajiem rezultātiem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Programmai noteiktajiem mērķiem un ietekmes rādītājiem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Programmu 2026.-2029. gadam finansē no AM budžeta bāzē valsts budžeta apakšprogrammai 22.12.00 "Nacionālo bruņoto spēku uzturēšana" piešķirtajiem valsts budžeta līdzekļiem, tai skaitā periodam no 2026. -2028. gadam no finansējuma, kas piešķirts no ārpus SAFE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īstenošanai piešķirto kopējo finansējumu ir plānots sadalīt viena Programmas projektu pieteikumu konkursa ietvaros, pie nosacījuma, ja Programmas projektu pieteikumi novērtēti atbilstoši noteiktajām prasībām par kvalitāti un Programmas projektu ietvaros tiks risināti visi Programmas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Programmas projektu pieteikumu skaits būs nepietiekošs, tad tiks organizēts atkārtots Programmas projektu pieteikumu konkurss saskaņā ar MK noteikumu Nr. 560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 maksājumus paredzēts veikt līdz 2029. gada 31. decembrim (paredzot pietiekamu laiku Programmas rezultātu izvērtēšanai un apstiprināšanai).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Lai nodrošinātu Programmas īstenošanas uzsākšanu un Rīkojuma projekta 3. punktā  2026. gadam paredzētā finansējuma izlietojumu </w:t>
      </w:r>
      <w:r w:rsidR="00000000" w:rsidRPr="00000000" w:rsidDel="00000000">
        <w:rPr>
          <w:rtl w:val="0"/>
        </w:rPr>
        <w:t xml:space="preserve">atbilstoši Programmas mērķiem, AM sadarbībā ar LZP ir izstrādājusi provizorisku ieviešanas plānu, paredzot nepieciešamo aktivitāšu secību, termiņus un iesaistāmos resursus MK noteikumos Nr. 560 noteikto procedūru savlaicīgai īstenošanai, lai nodrošinātu 2026. gadam piešķirtā finansējuma izmaksu LZP (un LZP avansa maksājumu veikšanu granta saņēmējiem) līdz 2026.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LZP ir apliecinājusi, ka gadījumā, ja MK rīkojuma projektu apstiprina līdz 2026. gada oktobra vidum, projektu konkurss tiks izsludināts nekavējoties pēc Programmas apstiprināšanas. Šim nolūkam LZP un AM jau sagatavo konkursa nolikumu iesniegšanai Programmas Īstenošanas uzraudzības komisijā. Konkursa norises grafiks tiks noteikts tā, lai nodrošinātu projektu pieteikumu iesniegšanu, izvērtēšanu, projektu apstiprināšanu un avansa maksājumu veikšanu, nepārsniedzot 25 % no projektam piešķirtā finansējuma, līdz 2026. gada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finansējums nav paredzēts atsevišķu viena gada aktivitāšu finansēšanai, bet gan vairāku gadu pētniecības projektu īstenošanai, kuru rezultāti nodrošina Aizsardzības inovāciju stratēģijā 2025.-2036. gadam noteikto pāreju no zināšanu radīšanas uz tehnoloģiju attīstību un to izmantošanu valsts aizsardzības vajadzībām. Tādēļ </w:t>
      </w:r>
      <w:r w:rsidR="00000000" w:rsidRPr="00000000" w:rsidDel="00000000">
        <w:rPr>
          <w:b w:val="1"/>
          <w:rtl w:val="0"/>
        </w:rPr>
        <w:t xml:space="preserve">saistību uzņemšanās pilnā Programmas apjomā jau 2026. gadā ir būtisks priekšnoteikums Programmas mērķu sasniegšanai</w:t>
      </w:r>
      <w:r w:rsidR="00000000" w:rsidRPr="00000000" w:rsidDel="00000000">
        <w:rPr>
          <w:rtl w:val="0"/>
        </w:rPr>
        <w:t xml:space="preserve">. Līdz ar to Programmas finansējums ir skatāms kā vienota, vairāku gadu saistību Programma, kuras īstenošana tiek uzsākta 2026. gadā, bet rezultāti tiek sasniegti pakāpeniski visā Programmas darbības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apzinās, ka Programmas ieviešanas sākums ir tieši saistīts ar MK lēmuma pieņemšanu. Ja MK rīkojuma projekta virzība noritēs termiņos, kas radīs risku 2026. gadam paredzētā finansējuma apguvei, AM sadarbībā ar Valsts kanceleju un iesaistītajām institūcijām izvērtēs nepieciešamos precizējumus Programmas finansējuma sadalījumā pa gadiem un, ja nepieciešams, iesniegs MK izskatīšanai attiecīgus priekšlikumus.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ieviešana pozitīvi ietekmēs zinātniskās institūcijas, augstskolas, pētniekus, komersantus un aizsardzības nozares institūcijas, veicinot sadarbību aizsardzības pētniecības, tehnoloģiju attīstības un inovāciju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Profesionālie, zinātniskie un tehniskie pakalpojumi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 veicinās zinātnisko institūciju un augstskolu kapacitātes stiprināšanu, jauno pētnieku iesaisti un augsti kvalificēta cilvēkkapitāla attīstību valsts aizsardzībai nozīmīgās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programma sekmēs Latvijas organizāciju konkurētspēju un spēju piesaistīt finansējumu nacionālajās un starptautiskajās pētniecības un inovāciju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nerada jaunu administratīvo slogu iedzīvotājiem vai komersantiem. Programmas īstenošana notiks projektu konkursu veidā atbilstoši programmas nolikumam.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ietvaros radītie rezultāti sekmēs zināšanu un tehnoloģiju pārnesi uz uzņēmumiem, jaunu produktu un risinājumu attīstību, kā arī sadarbības veidošanu starp zinātnisko un uzņēmējdarbības vidi.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Programmu 2026.-2029. gadam finansē no AM budžeta bāzē valsts budžeta apakšprogrammai 22.12.00 "Nacionālo bruņoto spēku uzturēšana" piešķirtajiem valsts budžeta līdzekļiem, tai skaitā laikposmā no 2026. -2028. gadam no finansējuma, kas piešķirts no ārpus SAFE finansējuma, atbilstoši likumam "Par valsts budžetu 2026. gadam un budžeta ietvaru 2026., 2027. un 2028.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Iepriekšējās Programmas 2021.-2024. gadam finansējums bija 1 500 000</w:t>
      </w:r>
      <w:r w:rsidR="00000000" w:rsidRPr="00000000" w:rsidDel="00000000">
        <w:rPr>
          <w:i w:val="1"/>
          <w:rtl w:val="0"/>
        </w:rPr>
        <w:t xml:space="preserve"> euro</w:t>
      </w:r>
      <w:r w:rsidR="00000000" w:rsidRPr="00000000" w:rsidDel="00000000">
        <w:rPr>
          <w:rtl w:val="0"/>
        </w:rPr>
        <w:t xml:space="preserve">, savukārt pēc grozījumiem Ministru kabineta rīkojumā tas tika precizēts līdz 1 380 049 </w:t>
      </w:r>
      <w:r w:rsidR="00000000" w:rsidRPr="00000000" w:rsidDel="00000000">
        <w:rPr>
          <w:i w:val="1"/>
          <w:rtl w:val="0"/>
        </w:rPr>
        <w:t xml:space="preserve">euro</w:t>
      </w:r>
      <w:r w:rsidR="00000000" w:rsidRPr="00000000" w:rsidDel="00000000">
        <w:rPr>
          <w:rtl w:val="0"/>
        </w:rPr>
        <w:t xml:space="preserve">. Programmas ietvaros tika izsludināts projektu pieteikumu konkurss trīs atbalsta virzienos, kurā tika iesniegti 12 projektu pieteikumi. Pieejamā finansējuma ietvaros bija iespējams apstiprināt tikai trīs projektus, kas saņēma augstāko zinātniskās kvalitātes un nozares atbilstības novērtējumu. Projektu ieviešana slaiks bija divi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 2026.-2029. gadam ir izstrādāta atbilstoši valsts Stratē</w:t>
      </w:r>
      <w:r w:rsidR="00000000" w:rsidRPr="00000000" w:rsidDel="00000000">
        <w:rPr>
          <w:u w:val="single"/>
          <w:rtl w:val="0"/>
        </w:rPr>
        <w:t xml:space="preserve">ģijas prioritātēm, paredzot septiņus atbalsta virzienus, tādējādi būtiski paplašinot pētniecības tvērumu salīdzinājumā pret iepriekšējo Programmu. Šādu tvēruma paplašinājumu pamato radikāli mainījusies ģeopolitiskā situācija pret to, kas bija 2021. gadā un kas ir arī aktualizēts 2025.gadā apstiprinātajā Stratēģijā.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Programmā plānots finansēt četras reizes vairāk projektu - vismaz 12 projektus, pagarināts tiek arī to ieviešanas laiks līdz 31 mēnesim, kas ir 2 gadi un 7 mēneši. Tas nepieciešams, jo paredzēti ir zināšanu ietilpīgi un integrēti risinājumi, kas būtiski atšķiras no tiem fokusētajiem uzdevumiem, ko risināja iepriekšējā Programma.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finansējums nav paredzēts atsevišķu viena gada aktivitāšu finansēšanai, bet gan vairāku gadu pētniecības projektu īstenošanai, kuru rezultāti nodrošina Stratēģijā noteikto pāreju no zināšanu radīšanas uz tehnoloģiju attīstību un to izmantošanu valsts aizsardzības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valsts budžeta saistību uzņemšanās pilnā Programmas apjomā jau 2026. gadā ir būtisks priekšnoteikums Programmas mērķu sasniegšanai. Līdz ar to Programmas finansējums ir skatāms kā vienota, vairāku gadu saistību Programma, kuras īstenošana tiek uzsākta 2026. gadā, bet rezultāti tiek sasniegti pakāpeniski visā Programmas darbības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2026.-2029. gadam </w:t>
      </w:r>
      <w:r w:rsidR="00000000" w:rsidRPr="00000000" w:rsidDel="00000000">
        <w:rPr>
          <w:u w:val="single"/>
          <w:rtl w:val="0"/>
        </w:rPr>
        <w:t xml:space="preserve">finansējuma</w:t>
      </w:r>
      <w:r w:rsidR="00000000" w:rsidRPr="00000000" w:rsidDel="00000000">
        <w:rPr>
          <w:u w:val="single"/>
          <w:rtl w:val="0"/>
        </w:rPr>
        <w:t xml:space="preserve"> palielinājums līdz 6 000 000 </w:t>
      </w:r>
      <w:r w:rsidR="00000000" w:rsidRPr="00000000" w:rsidDel="00000000">
        <w:rPr>
          <w:i w:val="1"/>
          <w:u w:val="single"/>
          <w:rtl w:val="0"/>
        </w:rPr>
        <w:t xml:space="preserve">euro</w:t>
      </w:r>
      <w:r w:rsidR="00000000" w:rsidRPr="00000000" w:rsidDel="00000000">
        <w:rPr>
          <w:u w:val="single"/>
          <w:rtl w:val="0"/>
        </w:rPr>
        <w:t xml:space="preserve"> ir pamatots ar prioritāro pētniecības jomu skaita pieaugumu, nepieciešamību nodrošināt kritiski svarīgu aizsardzības tehnoloģiju attīstību esošajā ģeopolitiskajā kontekstā, kā arī ar šādu pētījumu izmaksu līmeni starptautiskajā praksē</w:t>
      </w:r>
      <w:r w:rsidR="00000000" w:rsidRPr="00000000" w:rsidDel="00000000">
        <w:rPr>
          <w:rtl w:val="0"/>
        </w:rPr>
        <w:t xml:space="preserve">, tostarp ES un NATO zinātnes un tehnoloģiju sadarbības programmu ietvaros. Vairāki no programmā paredzētajiem pētījumu virzieniem ir saistīti ar transformējošām un stratēģiski nozīmīgām tehnoloģijām, kuru izstrāde prasa ilgtermiņa lielus ieguldījumus, bet kuru rezultāti ir būtiski valsts aizsardzības spēju attīstībai un tehnoloģiskās noturības 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Programmas finansējuma apjoms noteikts, balstoties uz AM veikto Latvijas zinātnisko institūciju kapacitātes izvērtējumu, kas apliecina pētniecības organizāciju spēju īstenot Programmas tematiskajiem virzieniem atbilstošus pētījumus un nodrošināt kvalitatīvu rezultātu sasniegšanu atbilstoši NBS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plānotais fi</w:t>
      </w:r>
      <w:r w:rsidR="00000000" w:rsidRPr="00000000" w:rsidDel="00000000">
        <w:rPr>
          <w:b w:val="1"/>
          <w:rtl w:val="0"/>
        </w:rPr>
        <w:t xml:space="preserve">nansējuma pieaugums ir samērīgs ar Programmas mērķiem, paredzētajiem rezultātiem un valsts aizsardzības interesēm.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Finanšu ministrija, Izglītības un zinātnes ministrija, Latvijas Zinātnes padome, Tieslietu ministrija, Valsts kanceleja, Latvijas Zinātņu akadēmija, Nacionālie bruņotie spēki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Zinātnes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aizsardzība Programmas projektu pieteikumu izstrādes, izvērtēšanas un īstenošanas procesā ir būtiska, lai aizsargātu informāciju, kuras izpaušana var kaitēt valsts aizsardzības un drošības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projektu zinātnisko rezultātu publiskas pieejamības prasības tiek piemērotas tādā apjomā, kādā to izpilde nerada ierobežotas pieejamības informācijas izpaušanas risku un atbilst Informācijas atklātības likuma 5. pantā noteiktajam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īstenošanas laikā rodas pamatoti apsvērumi, ka projekta ietvaros radītā informācija, dati, starprezultāti vai gala rezultāti var tikt klasificēti kā ierobežotas pieejamības informācija, projekta īstenotājam ir pienākums nodrošināt attiecīgu risku izvērtējumu un, ja nepieciešams, konsultēties ar savas pētniecības organizācijas informācijas drošības vai datu aizsardzības atbildīgo personu un 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projekta ietvaros radīto datu un informācijas drošu pārvaldību ir atbildīgs projekta īstenotājs, kurš sagatavo un īsteno Datu pārvaldības plānu atbilstoši projekta specifikai, paredzot nepieciešamos organizatoriskos, tehniskos un procesuālos pasākumus ierobežotas pieejamības informācijas aizsardzībai un neatbilstošas izpaušanas riska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vienotu izpratni par informācijas un datu drošības prasībām Programmas ietvaros, AM nepieciešamības gadījumā nodrošina informatīvo atbalstu projektu īstenotājiem, tostarp organizējot informatīvus seminārus par informācijas un datu aizsardzības jautājumiem.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26-TA-2143</w:t>
    </w:r>
    <w:r>
      <w:br/>
    </w:r>
    <w:r w:rsidR="00000000" w:rsidRPr="00000000" w:rsidDel="00000000">
      <w:rPr>
        <w:rtl w:val="0"/>
      </w:rPr>
      <w:t xml:space="preserve">Izdrukāts 05.10.2026. 18.32 - 2.0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26-TA-2143</w:t>
    </w:r>
    <w:r>
      <w:br/>
    </w:r>
    <w:r w:rsidR="00000000" w:rsidRPr="00000000" w:rsidDel="00000000">
      <w:rPr>
        <w:rtl w:val="0"/>
      </w:rPr>
      <w:t xml:space="preserve">Izdrukāts 05.10.2026. 18.32 - 2.0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anotācija_(ex_ante)_26-TA-2143.docx</dc:title>
</cp:coreProperties>
</file>

<file path=docProps/custom.xml><?xml version="1.0" encoding="utf-8"?>
<Properties xmlns="http://schemas.openxmlformats.org/officeDocument/2006/custom-properties" xmlns:vt="http://schemas.openxmlformats.org/officeDocument/2006/docPropsVTypes"/>
</file>