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6. jūlija noteikumos Nr. 503 "Noteikumi par aizdevumiem ar kapitāla atlaidi investīciju projektiem komersantiem konkurētspējas veicināšanai""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2021. gada 6. jūlija noteikumos Nr. 503 "Noteikumi par aizdevumiem ar kapitāla atlaidi investīciju projektiem komersantiem konkurētspējas veicināšanai" (MK Noteikumu projekts) paredz veikt precizējumus, ņemot vērā Eiropas Komisijas atbildi par subsīdiju ekvivalenta aprēķināšanu kombinēto finanšu instrumentu gadījumā, kā arī citus papildus tehniskus grozījumus.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6. jūlija noteikumos Nr. 503 "Noteikumi par aizdevumiem ar kapitāla atlaidi investīciju projektiem komersantiem konkurētspējas veicināšanai" (turpmāk - MK noteikumi) nepieciešami tehniski precizējumi, lai komersantiem un atbalsta sniedzējiem būtu pilnīgi un tiesiski skaidri aizdevumu programmas nosacījumi un īstenošanas gaita.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 pielikumu, MK Noteikumu 24.</w:t>
      </w:r>
      <w:r w:rsidR="00000000" w:rsidRPr="00000000" w:rsidDel="00000000">
        <w:rPr>
          <w:vertAlign w:val="superscript"/>
          <w:rtl w:val="0"/>
        </w:rPr>
        <w:t xml:space="preserve">1</w:t>
      </w:r>
      <w:r w:rsidR="00000000" w:rsidRPr="00000000" w:rsidDel="00000000">
        <w:rPr>
          <w:rtl w:val="0"/>
        </w:rPr>
        <w:t xml:space="preserve"> punktu</w:t>
      </w:r>
      <w:r w:rsidR="00000000" w:rsidRPr="00000000" w:rsidDel="00000000">
        <w:rPr>
          <w:vertAlign w:val="superscript"/>
          <w:rtl w:val="0"/>
        </w:rPr>
        <w:t xml:space="preserve"> </w:t>
      </w:r>
      <w:r w:rsidR="00000000" w:rsidRPr="00000000" w:rsidDel="00000000">
        <w:rPr>
          <w:rtl w:val="0"/>
        </w:rPr>
        <w:t xml:space="preserve">un precizēt MK Noteikumu 35. punktu, paredzot, ka atbalstam, ko piešķir saskaņā ar MK Noteikumu 12.punktu, subsīdijas ekvivalents ir vienāds ar komersantam piešķirtā aizdevuma apmēru. Precizēts pamatojoties uz Eiropas Komisijas sniegto atbildi par subsīdiju ekvivalenta aprēķināšanu kombinēto finanšu instrumentu gadījumā, nosakot, ka subsīdijas ekvivalents ir visa aizdevuma summa, neatkarīgi no tā, kas procentuāli vēlāk tiks norakstīts. Eiropas Komisija informēja, ka ir iespējamas arī citas aprēķina metodes atkarībā no finansēšanas modeļa.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aprēķins izvēlēts, jo programmai, kur pieejamā kapitāla atlaide var dzēst 100% no Altum piešķirtā aizdevuma, izvēlētais subsīdijas ekvivalenta aprēķins ir atbalsta saņēmējam visizdevīgākais. Ņemot vērā, ka subsīdijas ekvivalents ir visa atbalsta summa, tad ne tikai aizdevuma pagarinājums neradīs jaunu atbalsta ekvivalentu, bet arī kapitāla atlaide neradīs jaunu atbalsta ekvivalentu;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21.</w:t>
      </w:r>
      <w:r w:rsidR="00000000" w:rsidRPr="00000000" w:rsidDel="00000000">
        <w:rPr>
          <w:vertAlign w:val="superscript"/>
          <w:rtl w:val="0"/>
        </w:rPr>
        <w:t xml:space="preserve">3 </w:t>
      </w:r>
      <w:r w:rsidR="00000000" w:rsidRPr="00000000" w:rsidDel="00000000">
        <w:rPr>
          <w:rtl w:val="0"/>
        </w:rPr>
        <w:t xml:space="preserve">ar normu, ka sabiedrība "Altum" ir tiesīga pagarināt noteikto termiņu, ja novirzes no šī termiņa (termiņš ir noteikts gada laikā pēc tam, kad parakstīts līgums starp sabiedrību "Altum", komersantu un citu finansētāju, investīciju projekta ietvaros komersants veic maksājumus 10 % apmērā) ir radušās objektīvu no komersanta neatkarīgu apstākļu dēļ. Papildināts nosacījums līdzīgi 21.</w:t>
      </w:r>
      <w:r w:rsidR="00000000" w:rsidRPr="00000000" w:rsidDel="00000000">
        <w:rPr>
          <w:vertAlign w:val="superscript"/>
          <w:rtl w:val="0"/>
        </w:rPr>
        <w:t xml:space="preserve">2</w:t>
      </w:r>
      <w:r w:rsidR="00000000" w:rsidRPr="00000000" w:rsidDel="00000000">
        <w:rPr>
          <w:rtl w:val="0"/>
        </w:rPr>
        <w:t xml:space="preserve"> punktam, kas nosaka, ka identisku normu par atbalsta saņemšanu - ar normu tiek saprast, ka no komersanta neatkarīgi apstākļi ir tādi apstākļi, kas var ietekmēt projekta īstenošanu dēļ ģeopolitiskajiem riskiem, tirgus pārgrupēšanos, eksporta diversifikācijas un neskaidrības par potenciālajiem produkcijas noieta tirgiem un norēķinu iespējām, piemēram, būvniecības cenu sadārdzināšanās, resursu nepieejamība, piegāžu aizkavēšanās, kas attiecīgi kavē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noteikumus ar normām, ņemot vērā iespējamību, ka projekta sākotnējie ieguldījumi var tikt veikti Latvijā arī divos vai vairākos vienādas pieļaujamās NUTS 3 atbalsta intensitātes reģionos vai arī var tikt vienlaicīgi īstenots dažādos pieļaujamos NUTS 3 intensitātes reģionos (piemēram, digitalizācijas procesu ieviešana).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projektā plānotie sākotnējie ieguldījumi tiek veikti Latvijā divos vai vairākos dažādas NUTS 3 atbalsta intensitātes reģionos, tad tiek piemērota viena no šādām atbalsta intensitātēm: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katram NUTS 3 atbalsta intensitātes reģionam piekritīgo sākotnējo ieguldījumu izmaksām piemēro attiecīgā NUTS 3 atbalsta intensitātes reģiona  atbalsta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b)ja no sākotnējiem ieguldījumiem neatkarīgi no to atrašanās vietas labumu gūst viens vai vairāki dažādas NUTS 3 atbalsta intensitātes reģioni, visam projektam piemēro zemāko atbalsta intensitāti starp NUTS 3 atbalsta intensitātes reģioniem, kuri gūst labumu no projekta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piem.; uz nemateriālajiem aktīviem galvenokārt - programmatūra, kas apkalpo viena uzņēmuma divus ražošanas ķēdes posmus (vai struktūras). Programmatūra visticamāk būs kopējā uzņēmuma uzskaitē, bet programmas pieslēgums būs pieejams arī struktūrām. Teorētiski var uzskatīt, ka atrašanās vieta būs uzņēmuma adrese, kas ir oficiālā adrese.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citus tehniskus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rastu tiesisko skaidrību, papildus anotācijā tiek skaidrots formulējums attiecībā uz 31.</w:t>
      </w:r>
      <w:r w:rsidR="00000000" w:rsidRPr="00000000" w:rsidDel="00000000">
        <w:rPr>
          <w:vertAlign w:val="superscript"/>
          <w:rtl w:val="0"/>
        </w:rPr>
        <w:t xml:space="preserve">1 </w:t>
      </w:r>
      <w:r w:rsidR="00000000" w:rsidRPr="00000000" w:rsidDel="00000000">
        <w:rPr>
          <w:rtl w:val="0"/>
        </w:rPr>
        <w:t xml:space="preserve">punktu, ka aģentūras lēmums par investīciju projektu ir pozitīvs aģentūras lēmums par komersanta pieteikuma apstiprināšanu, kas turpmāk ir izvērtējams finansējuma pieprasījumam sabiedrībā "Altum".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"Attīstības finanšu institūcija Altum".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noteikumos neietekmēs atbalsta programmas novērtējumu uz vispārējās valdības budžeta bilanci atbilstoši Eiropas kontu sistēms metodoloģijai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17. jūnija Regula (ES) Nr. 651/2014, ar ko noteiktas atbalsta kategorijas atzīst par saderīgām ar iekšējo tirgu, piemērojot Līguma 107. un 108. panta (turpmāk – Komisijas regula Nr. 651/2014)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17. jūnija Regula (ES) Nr. 651/2014, ar ko noteiktas atbalsta kategorijas atzīst par saderīgām ar iekšējo tirgu, piemērojot Līguma 107. un 108. panta (turpmāk – Komisijas regula Nr. 651/2014)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5.panta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Tehnisks precizējums, ņeot vērā eiropas Komisijas sniegto skaidrojumu.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22-TA-1151</w:t>
    </w:r>
    <w:r>
      <w:br/>
    </w:r>
    <w:r w:rsidR="00000000" w:rsidRPr="00000000" w:rsidDel="00000000">
      <w:rPr>
        <w:rtl w:val="0"/>
      </w:rPr>
      <w:t xml:space="preserve">Izdrukāts 30.07.2026. 00.19 - 5.0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22-TA-1151</w:t>
    </w:r>
    <w:r>
      <w:br/>
    </w:r>
    <w:r w:rsidR="00000000" w:rsidRPr="00000000" w:rsidDel="00000000">
      <w:rPr>
        <w:rtl w:val="0"/>
      </w:rPr>
      <w:t xml:space="preserve">Izdrukāts 30.07.2026. 00.19 - 5.0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anotācija_(ex_ante)_22-TA-1151.docx</dc:title>
</cp:coreProperties>
</file>

<file path=docProps/custom.xml><?xml version="1.0" encoding="utf-8"?>
<Properties xmlns="http://schemas.openxmlformats.org/officeDocument/2006/custom-properties" xmlns:vt="http://schemas.openxmlformats.org/officeDocument/2006/docPropsVTypes"/>
</file>