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Privāto pensiju fondu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Privāto pensiju fondu likumā” (turpmāk - likumprojekts) izstrādāts, lai Privāto pensiju fondu likumā (turpmāk - Likums) transponētu Eiropas Parlamenta un Padomes 2023. gada 13. decembra Direktīvas (ES) 2023/2864, ar ko attiecībā uz Eiropas vienotā piekļuves punkta izveidi un darbību groza konkrētas direktīvas (turpmāk – Direktīva Nr. 2023/2864),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Nr. 2023/2864, tostarp tiek grozīta Eiropas Parlamenta un Padomes 2016. gada 14. decembra direktīva 2016/2341 par arodpensijas kapitāla uzkrāšanas institūciju (AKUI) darbību un uzraudzību (turpmāk – direktīva Nr. 2016/2341), iekļaujot tajā jaunu 63.a pantu “Informācijas pieejamība Eiropas vienotajā piekļuves punktā” un Eiropas Parlamenta un Padomes 2007. gada 11. jūlija direktīva 2007/36/EK par biržu sarakstos iekļautu sabiedrību akcionāru konkrētu tiesību izmantošanu (turpmāk – Direktīva Nr. 2007/36), iekļaujot tajā jaunu 14.c pantu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2007/36 14.c panta un Direktīvas Nr. 2016/2341 63.a panta noteiktās prasības par informācijas nodošanu Eiropas vienotajam piekļuves punktam (European single access point) (turpmāk – ESAP), kas tiks izveidots saskaņā ar Eiropas Parlamenta un Padomes 2023. gada 13. decembra regulu (ES) 2023/2859, ar ko izveido Eiropas vienoto piekļuves punktu, kurš nodrošina centralizētu piekļuvi publiski pieejamai informācijai saistībā ar finanšu pakalpojumiem, kapitāla tirgiem un ilgtspēju (turpmāk – Regula Nr. 2023/2859), attiecas uz Likuma subjektiem.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lai ESAP tiktu nodota informāciju par atalgojuma politiku, gada pārskatiem, ieguldījumu politiku, ieguldījumu stratēģiju un vienošanās ar aktīvu pārvaldniekiem, kā arī iesaistīšanās politiku.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17. pantā “Transponēšana” noteikts, ka dalībvalstis līdz 2026.gada 10.janvārim pieņem un publicē normatīvos aktus, kas vajadzīgi, lai izpildītu šīs direktīvas prasības. Līdz ar to nekavējoties ir nepieciešams transponēt Likumā minēto Eiropas Savienības tiesību aktu, lai novērstu tādu valstij nelabvēlīgu seku iestāšanos, kas skar būtiskas valsts starptautiskās un finanšu intereses, ja Direktīva 2023/2864 netiek transponēta minētajā 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21. panta vienpadsmitā daļa paredz, ja atbilstoši pensiju plāna noteikumiem uzkrātos līdzekļus pārvalda pensiju fonda izraudzīts līdzekļu pārvaldītājs, pensiju fonds par līgumu, kas noslēgts ar līdzekļu pārvaldītāju, publisko informāciju par līdzekļu pārvaldītāja ieguldījumu stratēģijas un lēmumu atbilstību pensiju plāna ilgtermiņa saistību termiņstruktūrai un ieguldījumu politikai; pārvaldītāja lēmumu atbilstību tādas akciju sabiedrības vidēja termiņa un ilgtermiņa finanšu un nefinanšu darbības rezultātiem, kuras juridiskā adrese ir dalībvalstī un kuras akcijas iekļautas dalībvalsts regulētajā tirgū; līdzekļu pārvaldītāja iesaistīšanos akciju sabiedrības pārvaldībā, lai uzlabotu akciju sabiedrības vidēja termiņa un ilgtermiņa darbības rezultātus; līdzekļu pārvaldītāja darbības rezultātu novērtēšanas metodēm un laikposmu, kā arī samaksa par līdzekļu pārvaldītāja pakalpojumiem atbilst pensiju plāna ilgtermiņa saistību termiņstruktūrai un ieguldījumu politikai un kā tiek ņemti vērā absolūtie darbības rezultāti ilgtermiņā; pensiju fonda uzrauga pensiju plāna ieguldījumu portfeļa darbības izmaksām, kas radušās līdzekļu pārvaldītājam, un kā tas nosaka un uzrauga pensiju plāna ieguldījumu portfeļa apgrozījumu;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27. panta pirmajā daļā noteikts, ka pensiju fonda vai Pan-Eiropas privāto pensiju produktu (PEPP) sniedzēja valdes pienākumi attiecībā uz pensiju plāna vai PEPP plāna aktīvu ieguldīšanu ir saskaņā ar attiecīgā pensiju plāna vai PEPP plāna ieguldīšanas noteikumiem sagatavot un iesniegt Latvijas Bankai informāciju par attiecīgā pensiju plāna vai PEPP plāna ieguldījumu politiku, ne retāk kā reizi trijos gados izvērtēt noteikto ieguldījumu politiku un iesniegt Latvijas Bankai turpmāk īstenojamās pensiju plāna ieguldījumu politikas detalizētu aprakstu un triju darbdienu laikā iesniegt Latvijas Bankai informāciju par izmaiņām pensiju plāna vai PEPP plāna ieguldījumu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 pants nosaka, ka, ja pensiju plāna ieguldījumu politika paredz pensiju plāna aktīvus ieguldīt tādas akciju sabiedrības akcijās, kuras juridiskā adrese ir dalībvalstī un kuras akcijas iekļautas dalībvalsts regulētajā tirgū, pensiju fonds izstrādā iesaistīšanās politiku. Pensiju fonds katru gadu līdz 1. augustam publisko ziņojumu par iesaistīšanās politikas īstenošanu. Ziņojumu sniedz par periodu no dienas, kad pirmo reizi publiskota iesaistīšanās politika vai pēdējais ziņojums par iesaistīšanās politikas īstenošanu. Pensiju fonds papildus publisko savus balsojumus akciju sabiedrības akcionāru sapulcēs. Ja pensiju fonds nepiemēro kādu no šā panta pirmās, otrās, trešās vai ceturtās daļas prasībām, tas sniedz informāciju par to, kura prasība netiek piemērota, un šādas rīcības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 pants paredz, ka par informācijas sniegšanas kārtību pensiju fonds vai citas dalībvalsts pensiju fonds, kas ir tiesīgs sniegt pakalpojumus Latvijā, šā likuma 31., 32., 33. un 34. pantā noteikto informāciju var sniegt, izmantojot jebkādus elektroniskās saziņas līdzekļus, tīmekļvietni, arī trešo personu uzturētu informācijas sistēmu valsts pārvaldes pakalpojumu portālā, vai, ja saņemts atsevišķs pensiju plāna dalībnieka vai papildpensijas saņēmēja rakstveida pieprasījums, —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panta pirmā daļa nosaka, ka pensiju fondi kārto grāmatvedību un sagatavo gada pārskatu saskaņā ar šo likumu, Grāmatvedības likumu, Ilgtspējas informācijas atklāšanas likumu un Latvijas Bankas noteikumiem. Pensiju fonda gada pārskats sastāv no pensiju fonda finanšu pārskatiem, pensiju fonda vadības ziņojuma un paziņojuma par pensiju fonda vadības atbildību. Pensiju fonda gada pārskatam pievieno visu reģistrēto pensiju plānu gada pārskatus, kuri sastāv no pensiju plāna finanšu pārskatiem un ziņojuma par attiecīgo pensiju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2023/2859 1.pants paredz, ka līdz 2027. gada 10. jūlijam Eiropas Vērtspapīru un tirgu iestāde, kas izveidota ar Eiropas Parlamenta un Padomes  2010. gada 24. novembra Regulu (ES) Nr. 1095/2010, ar ko izveido Eiropas Uzraudzības iestādi (Eiropas Vērtspapīru un tirgu iestādi), groza Lēmumu Nr. 716/2009/EK un atceļ Komisijas Lēmumu 2009/77/EK (EVTI), izveido un pārvalda ESAP, kas nodrošina centralizētu piekļuvi informācijai, ko publisko saskaņā ar Regulas Nr. 2023/2859 pielikumā uzskaitītajiem Savienības leģislatīvajiem aktiem, tostarp Direktīvā Nr. 2016/2341 noteikto informāciju. ESAP funkcijas noteiktas regulas Nr. 2023/2859 7.pantā.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reglamentējošais normatīvais akts, kurš attiecas uz uzņēmumiem, uz kuriem attiecas Direktīvas Nr. 2007/36 14.c panta un Direktīvas Nr. 2016/2341 63.a panta noteiktās prasības par informācijas nodošanu ESAP, ir Likums, tad, lai pārņemtu direktīvas Nr. 2023/2864 prasības, ir jāveic grozījumi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2007/36 14.c panta un Direktīvas Nr. 2016/2341 63.a panta “Informācijas pieejamība Eiropas vienotajā piekļuves punktā” prasības, kas izriet no Direktīvas Nr. 2023/2864, Likums papildināts ar 35. panta otro, trešo, ceturto, piekto, sesto un septīto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2016/2341 63.a panta 1. punktā noteikts, ka no 2030. gada 10. janvāra dalībvalstis nodrošina, ka, publiskojot informāciju par atalgojuma politiku, par gada pārskatiem, kā arī par ieguldījumu politiku regulētās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2016/2341 63.a panta 1.punktā noteikts, ka dalībvalstis nodrošina, ka informācija tiek iesniegta datu izgūšanai piemērotā formātā, kā definēts Regulas Nr. 2023/2859 2. panta 3) punktā, vai – ja to prasa Savienības vai valstu tiesību akti – mašīnlasāmā formātā, kā definēts minētās regulas 2. panta 4) punktā. Informācijai tiek pievienoti metadati, kas noteikti Direktīvas Nr. 2016/2341 63.a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2007/36 14.c panta 1. punktā noteikts, ka no 2030. gada 10. janvāra dalībvalstis nodrošina, ka, informāciju par iesaistīšanās politiku un ieguldījumu stratēģiju un vienošanās ar aktīvu pārvaldniekiem,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2007/36 14.c panta 1.punktā noteikts, ka dalībvalstis nodrošina, ka informācija tiek iesniegta datu izgūšanai piemērotā formātā, kā definēts Regulas Nr. 2023/2859 2. panta 3) punktā, vai – ja to prasa Savienības vai valstu tiesību akti – mašīnlasāmā formātā, kā definēts minētās regulas 2. panta 4) punktā. Informācijai tiek pievienoti metadati, kas noteikti Direktīvas Nr. 2007/36 14.c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2016/2341 63.a panta 2. punkts paredz, ka šā panta 1. punkta b) apakšpunkta ii) punkta izpildei dalībvalstis nodrošina, ka arodpensijas kapitāla uzkrāšanas institūcija iegūst juridiskās personas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2016/2341 63.a panta 4.punktā noteikts, ka dalībvalstis nodrošina, ka informācija tiek iesniegta datu izgūšanai piemērotā formātā, kā definēts Regulas Nr. 2023/2859 2. panta 3) punktā. Informācijai tiek pievienoti metadati, kas noteikti Direktīvas Nr. 2016/2341 63.a panta 4. punkta b)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35. pantu ar otro daļu, kas paredz, ka pensiju fonds publiskojot savā tīmekļvietnē vai arī izvēloties informācijas publiskošanai citu piemērotu informācijas nesēju un vietu, un vienlaikus iesniedz Latvijas Bankā informāciju šā likuma 21. panta 11. daļā, 27. panta pirmajā daļā, 29. panta sestajā daļā un 36.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35. pantu ar trešo daļu, kas paredz, ka Latvijas Banka ir uzskatāma par informācijas vākšanas struktūru Regulas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35. pantu ar ceturto daļu, kas paredz, ka Latvijas Banka nodrošina šā likuma 21. panta 11. daļā, 27. panta pirmajā daļā, 29. panta sestajā daļā, 36. panta pirmajā daļā un 41. panta astotajā un devītajā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35. pantu ar piekto daļu, kas paredz, ka šā likuma 27. panta pirmajā daļā un 36. panta pirmajā daļā minēto informāciju Latvijas Bankai iesniedz Regulas Nr. 2023/2859 2. panta 3. vai 4. punktā noteiktajā formātā. Informācija satur Regulas Nr. 2023/2859 7. panta 4. punkta “b”, “c” un “d” minēto informāciju, tai skaitā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35. pantu ar sesto daļu, kas paredz, ka šā likuma 21. panta 11. daļā un 29. panta sestajā daļā minēto informāciju Eiropas vienotajam piekļuves punktam sniedz Regulas Nr. 2023/2859 2. panta 3. vai 4. punktā noteiktajā formātā. Informācija satur Regulas Nr. 2023/2859 7. panta 4. punkta "b", "c", "d" un "e" apakšpunktā minēto informāciju, tai skaitā institucionālo investoru vai aktīvu pārvaldītāju nosaukumu un norādi, vai informācija satur fiziskās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35. pantu ar septīto daļu, kas paredz, ka šā likuma 41. panta  astotajā un devītajā daļā minēto informāciju Eiropas vienotajam piekļuves punktam sniedz Regulas Nr. 2023/2859 2. panta 3. punktā noteiktajā formātā. Informācija satur Regulas Nr. 2023/2859 7. panta 4. punkta “b” un “c” minēto informāciju, tai skaitā visu to personas vārdus, kurām piemērots administratīvais sods vai cits pasākums,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jeb LEI (Legal Entity Identifier) ir unikāls globāls uzņēmuma identifikācijas numurs, ko izdevusi Globālā juridisko personu identifikatoru fonda vietējā struktūrvienība. Finanšu iestādes un regulatori izmanto LEI, lai identificētu finanšu tirgu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ir 20 rakstzīmju, burtu un ciparu kods, kura pamatā ir ISO 17442 standarts, ko izstrādājusi Starptautiskā standartizācijas organizācija (ISO). Tas apkopo galveno atsauces datu informāciju, kas ļauj skaidri un unikāli identificēt juridiskas personas, kuras piedalās finanšu darījumos atbilstoši Komisijas deleģētās 2016. gada 14. jūlija regulas (ES) 2017/585 ar ko Eiropas Parlamenta un Padomes Regulu (ES) Nr. 600/2014 papildina attiecībā uz regulatīvajiem tehniskajiem standartiem par finanšu instrumentu atsauces datu standartiem un formātiem un tehniskiem līdzekļiem saistībā ar Eiropas Vērtspapīru un tirgu iestādes un kompetento iestāžu veicamajiem pasākumiem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nosacījumu, ka Likuma 35. panta otro, trešo, ceturto, piekto, sesto un septīto daļu piemēro, sākot ar  2030. gada 10.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iekļauta arī informatīvā atsauce uz Direktīvu Nr. 2023/2864.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ir Likuma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Likumā tā subjektiem nerodas papildus pienākumi.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Finanšu konglomerātu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konglomerātu likumā" (25-TA-2284).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Akciju atpirkšanas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Akciju atpirkšanas likumā" (25-TA-2326).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likumā" (25-TA-2447).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pārvaldes sabiedrību likumā" (25-TA-2538).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Apdrošināšanas un pārapdrošināšanas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likumā" (25-TA-2547).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Segto obligāciju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Segto obligāciju likumā" (25-TA-2563).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Apdrošināšanas un pārapdrošināšanas izplatīšanas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izplatīšanas likumā" (25-TA-2576).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Alternatīvo ieguldījumu fondu un to pārvaldnieku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Alternatīvo ieguldījumu fondu un to pārvaldnieku likumā" (25-TA-2595).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Ieguldījumu brokeru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brokeru sabiedrību likumā" (25-TA-2604).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Kredītiestāžu un ieguldījumu brokeru sabiedrību darbības atjaunošanas un noregulējuma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un ieguldījumu brokeru sabiedrību darbības atjaunošanas un noregulējuma likumā" (25-TA-2691).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Likumprojekts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instrumentu tirgus likumā" (25-TA-2713).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32023L2864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decembra Direktīva (ES) 2023/2864, ar ko attiecībā uz Eiropas vienotā piekļuves punkta izveidi un darbību groza konkrētas direktīvas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2022/2864 normas ir jāpārņem līdz 10.01.2026.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decembra Direktīva (ES) 2023/2864, ar ko attiecībā uz Eiropas vienotā piekļuves punkta izveidi un darbību groza konkrētas direktīvas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14. pantu Direktīvā 2016/2341 iekļautais 63.a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35. panta otrā, trešā, ceturtā un piektā daļa. Pārejas noteikumu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14. pantu Direktīvā 2016/2341 iekļautais 63.a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35. panta trešā daļa. Pārejas noteikumu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14. pantu Direktīvā 2016/2341 iekļautais 63.a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35. panta ceturtā daļa. Pārejas noteikumu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5. pantu Direktīvā 2007/36 iekļautais 14.c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35. panta sestā daļa. Pārejas noteikumu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25-TA-2585</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25-TA-2585</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anotācija_(ex_ante)_25-TA-2585.docx</dc:title>
</cp:coreProperties>
</file>

<file path=docProps/custom.xml><?xml version="1.0" encoding="utf-8"?>
<Properties xmlns="http://schemas.openxmlformats.org/officeDocument/2006/custom-properties" xmlns:vt="http://schemas.openxmlformats.org/officeDocument/2006/docPropsVTypes"/>
</file>