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apropriācijas pārdali"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par budžetu un finanšu vadību (turpmāk - LBFV) 9.panta 13.</w:t>
      </w:r>
      <w:r w:rsidR="00000000" w:rsidRPr="00000000" w:rsidDel="00000000">
        <w:rPr>
          <w:vertAlign w:val="superscript"/>
          <w:rtl w:val="0"/>
        </w:rPr>
        <w:t xml:space="preserve">2</w:t>
      </w:r>
      <w:r w:rsidR="00000000" w:rsidRPr="00000000" w:rsidDel="00000000">
        <w:rPr>
          <w:rtl w:val="0"/>
        </w:rPr>
        <w:t xml:space="preserve"> daļas  2.punkts paredz, ka finanšu ministram ir tiesības veikt šā panta trīspadsmitās daļas 1. punktā minētās apropriāciju pārdales starp programmām, apakšprogrammām un budžeta izdevumu kodiem atbilstoši ekonomiskajām kategorijām, ir pieļaujama tikai tāda apropriācijas pārdale no kapitālajiem izdevumiem uz kārtējiem izdevumiem, kas neietekmē ministrijai vai citai centrālajai valsts iestādei turpmākajiem gadiem noteikto maksimāli pieļaujamo izdevumu apjomu.  Savukārt, LBFV 9.panta 13.</w:t>
      </w:r>
      <w:r w:rsidR="00000000" w:rsidRPr="00000000" w:rsidDel="00000000">
        <w:rPr>
          <w:vertAlign w:val="superscript"/>
          <w:rtl w:val="0"/>
        </w:rPr>
        <w:t xml:space="preserve">2</w:t>
      </w:r>
      <w:r w:rsidR="00000000" w:rsidRPr="00000000" w:rsidDel="00000000">
        <w:rPr>
          <w:rtl w:val="0"/>
        </w:rPr>
        <w:t xml:space="preserve"> daļas  4.punkts paredz, nav pieļaujama apropriācijas pārdale atlīdzības palielināšanai, ja tā ietekmē ministrijai vai citai centrālajai valsts iestādei turpmākajiem gadiem noteikto maksimāli pieļaujamo izdevumu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Apropriācijas pārdale tiks veikta saskaņā ar Ministru kabineta 2023.gada 17.janvāra noteikumu Nr.15 "Maksimāli pieļaujamā valsts budžeta izdevumu kopapjoma un  katrai ministrijai un citai centrālajai valsts iestādei paredzētā izdevumu kopējā apjoma noteikšanas kārtība vidējam termiņam" 11.2.punktu, kas paredz, ka ministrija var iesniegt Finanšu ministrijā pamatotus priekšlikumus izmaiņām starp budžeta programmām, apakšprogrammām un izdevumu kodiem atbilstoši ekonomiskajām kategorijām, no citiem izdevumiem uz izdevumiem atlīdzībai valsts pamatbudžeta daļā valsts pamatfunkciju īstenošanai, izņemot gadījumus, ja nemainās pasākuma mērķis vai ir pieņemts atsevišķs Ministru kabineta lēmums.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veikt apropriācijas pārdali 2026.gadam Veselības ministrijas budžeta apakšprogrammu ietvaros, lai nodrošinātu kapacitātes stiprināšanu Valsts asinsdonora centrā (turpmāk - VADC).</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ministrijas budžeta apakšprogrammas 39.03.00 “Asins un asins komponentu nodrošināšana” mērķis ir nodrošināt drošu un kvalitatīvu asins komponentu sagatavošanu un izplatīšanu ārstniecības iestādēm, kā arī imūnhematoloģisko izmeklējumu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Apakšprogrammas izpildītājs ir Valsts asinsdonoru centrs.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VADC ir noteikta kā stratēģiski svarīga kritiskās infrastruktūras iestāde ar pieaugošām prasībām personāla apmācībā, kā arī droša un kvalitatīva asins komponentu sagatavošanā un  darbībai krīzes situācijā, kas var būt veselības aprūpes sistēmas noturībai izšķirošas.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Pašreiz atalgojums VADC kā valsts iestādē ir nekonkurētspējīgs ne tikai ar valsts kapitālsabiedrību un pašvaldību ārstniecības iestādēm, bet arī ar mediķu atalgojumu nozares valsts iestādēs kā Neatliekamās medicīniskās palīdzības dienestā un Valsts tiesu medicīnas ekspertīzes centrā. Īpaši sarežģīti šobrīd ir piesaistīt ārstus un ārstu palīgus donoru atlasei, kur VADC nav nekādas riska un maiņu darbu piemaksas. Rezultātā ir ilgstošas grūtības nokomplektēt personālu (vidējais vecums 52 gadi), kas šajā brīdī apdraud VADC noteikto funkciju veikšanu asins komponentu sagatavošanā, ko VADC ar savu kompetenci veic kā VIENĪGĀ iestāde valstī.</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risinātu aktuālo jautājumu ar VADC personāla nokomplektēšanu, steidzami būtu jārod vismaz minimāls personāla atalgojuma palielinājuma risinājums.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veikt un attiecīgi rīkojuma projekts paredz 2026.gadam Veselības ministrijas budžeta apakšprogrammas 39.03.00 "Asins un asins komponentu nodrošināšana" ietvaros, samazinot izdevumus pamatkapitālā veidošanai 42 908 euro apmērā un palielinot izdevumus atlīdzībai 42 908 euro apmērā, lai nodrošinātu kapacitātes stiprināšanu Valsts asinsdonora centrā.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2028</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2029</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9 998 516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9 929 792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9 934 805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9 998 516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9 929 792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9 934 805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9 998 516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9 929 792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9 934 805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9 998 516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9 929 792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9 934 805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Nepieciešams veikt un attiecīgi rīkojuma projekts paredz 2026.gadam Veselības ministrijas budžeta apakšprogrammas 39.03.00 "Asins un asins komponentu nodrošināšana" ietvaros, samazinot izdevumus pamatkapitālā veidošanai 42 908 euro apmērā un palielinot izdevumus atlīdzībai 42 908 euro apmērā, lai nodrošinātu kapacitātes stiprināšanu Valsts asinsdonora centrā (Detalizētus aprēķinus skatīt anotācijas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Pēdējo piecu gadu periodā VADC ir mērķtiecīgi īstenojis visaptverošu tehnoloģisko iekārtu atjaunošanas politiku. Šīs stratēģijas galvenais uzdevums bija modernizēt tehnisko bāzi, lai nodrošinātu augstākos drošības un efektivitātes standartus asins komponentu sagatavošanas procesā. Pateicoties efektīvai resursu pārvaldībai, šobrīd pamatdarbības nodrošināšanai nepieciešamais aprīkojums ir praktiski pilnībā atjaunots. Ņemot vērā, ka primārā tehniskā bāze ir nostiprināta, VADC rodas iespēja stratēģiski pārvirzīt budžeta prioritātes. Plānotos līdzekļus, kas iepriekš tika koncentrēti budžeta klasifikācijas kodā EKK 5000 "Kapitālie izdevumi", turpmāk iespējams novirzīt kritiski svarīgam virzienam – ārstniecības personāla motivācijas 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Turpmākajos gados Valsts asinsdonora centrs nepieprasīs papildu finansējumu pamatkapitāla veidošanai.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 normatīvajos aktos noteiktajā kārtībā sagatavos un iesniegs Finanšu ministrijā pieprasījumu valsts budžeta apropriācijas pārdalei atbilstoši šā rīkojuma 1. un 2.punktam.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Ņemot vērā, ka rīkojuma projektā paredzētajai finansējuma pārdalei ir ietekme arī uz turpmākajiem gadiem, VM Finanšu ministrijai iesniegs priekšlikumus veikt līdzekļu pārdali  apakšprogrammas 39.03.00 "Asins un asins komponentu nodrošināšana" ietvaros VM bāzes izdevumos 2027., 2028., 2029 un 2030.gadam, paredzot finansējuma pārdali 2027. gadā  un turpmāk ik gadu samazinot izdevumus pamatkapitālā veidošanai 85 815 euro apmērā un palielinot izdevumus atlīdzībai 85 815 euro apmērā.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asinsdonoru centrs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asinsdonoru centrs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26-TA-1064</w:t>
    </w:r>
    <w:r>
      <w:br/>
    </w:r>
    <w:r w:rsidR="00000000" w:rsidRPr="00000000" w:rsidDel="00000000">
      <w:rPr>
        <w:rtl w:val="0"/>
      </w:rPr>
      <w:t xml:space="preserve">Izdrukāts 30.07.2026. 00.22 - 2.0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26-TA-1064</w:t>
    </w:r>
    <w:r>
      <w:br/>
    </w:r>
    <w:r w:rsidR="00000000" w:rsidRPr="00000000" w:rsidDel="00000000">
      <w:rPr>
        <w:rtl w:val="0"/>
      </w:rPr>
      <w:t xml:space="preserve">Izdrukāts 30.07.2026. 00.22 - 2.0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anotācija_(ex_ante)_26-TA-1064.docx</dc:title>
</cp:coreProperties>
</file>

<file path=docProps/custom.xml><?xml version="1.0" encoding="utf-8"?>
<Properties xmlns="http://schemas.openxmlformats.org/officeDocument/2006/custom-properties" xmlns:vt="http://schemas.openxmlformats.org/officeDocument/2006/docPropsVTypes"/>
</file>