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24. oktobra noteikumos Nr. 613 "Valsts un Eiropas Savienības atbalsta piešķiršanas kārtība Eiropas Lauksaimniecības fonda lauku attīstībai intervencē "Atbalsts Eiropas Inovāciju partnerības darba grupu projektu īstenošanai" atklātu projektu iesniegumu konkursu veidā 2023.–2027. gada plānošanas periodam""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24. oktobra noteikumos Nr. 613 "Valsts un Eiropas Savienības atbalsta piešķiršanas kārtība Eiropas Lauksaimniecības fonda lauku attīstībai intervencē "Atbalsts Eiropas Inovāciju partnerības darba grupu projektu īstenošanai" atklātu projektu iesniegumu konkursu veidā 2023.–2027. gada plānošanas periodam"" (turpmāk – noteikumu projekts) sagatavots, lai precizētu atbalsta saņemšanas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uzlabot Eiropas Inovāciju partnerības darba grupu projektu kvalitāti un praktisko ietekmi, nosakot skaidrākas un stingrākas prasības projekta gala rezultātam, tā ieviešanai un tehnoloģiskās gatavības līmeņa paaugstināšanai. Ar grozījumiem paredzēts nodrošināt, ka publiskais finansējums tiek ieguldīts praktiski pielietojamos, komerciāli izmantojamos un nozares vajadzībām atbilstošos risinājumos, kā arī stiprināt projektu pārvaldību, partneru atbildību, dubultā finansējuma riska novēršanu un pētniecības organizāciju kapacitāti.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spēkā esošajos Ministru kabineta 24. oktobra noteikumos Nr. 613 "Valsts un Eiropas Savienības atbalsta piešķiršanas kārtība Eiropas Lauksaimniecības fonda lauku attīstībai intervencē "Atbalsts Eiropas Inovāciju partnerības darba grupu projektu īstenošanai" atklātu projektu iesniegumu konkursu veidā 2023.–2027. gada plānošanas periodam" (turpmāk – noteikumi Nr. 613) noteikto, Lauku atbalsta dienestā (turpmāk – LAD) ir notikušas vairākas projektu iesniegumu pieņemšanas 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iesniegumu pieņemšanas kārtām Zemkopības ministrija sadarbībā ar Lauku atbalsta dienestu ir secinājusi, ka nepieciešami grozījumi noteikumos Nr. 613. Daudzi Eiropas Inovāciju partnerības (turpmāk – EIP) darba grupu projekti beidzas ar teorētiskiem vai nepietiekami testētiem risinājumiem, kurus nav iespējams ieviest uzņēmumu vai nozares praksē, tādējādi mazinot publiskā finansējuma atdevi un inovāciju ietekmi. Lai nodrošinātu praktiski izmantojamus un komerciāli pielietojamus risinājumus, grozījumos precizētas prasības par gala rezultātu, tā ieviešanu un tehnoloģiskās gatavības līmeņa paaugstināšanu.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precizēta konsultanta definīcija, nosakot, ka konsultants var būt arī fiziska persona – saimnieciskās darbības veicējs. Trīs gadu pieredzi konsultāciju sniegšanā var pierādīt ar "Lursoft" reģistrācijas datiem, norādot atbilstošo </w:t>
      </w:r>
      <w:r w:rsidR="00000000" w:rsidRPr="00000000" w:rsidDel="00000000">
        <w:rPr>
          <w:i w:val="1"/>
          <w:rtl w:val="0"/>
        </w:rPr>
        <w:t xml:space="preserve">NACE </w:t>
      </w:r>
      <w:r w:rsidR="00000000" w:rsidRPr="00000000" w:rsidDel="00000000">
        <w:rPr>
          <w:rtl w:val="0"/>
        </w:rPr>
        <w:t xml:space="preserve">kodu. Papildus noteikts, kā apliecināt konsultanta darbību, t. i., ar saimnieciskās darbības reģistrāciju un dokumentiem, kas apliecina konsultāciju pakalpojumu 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un 3. punkts ir jauni punkti, un tie ieviesti, lai novērstu situācijas, kad EIP projekti beidzas ar teorētiskiem, nepietiekami pārbaudītiem vai praksē neieviešamiem risinājumiem. Līdz šim daļa projektu neradīja praktisku ieguvumu nozarei, tādējādi samazinot publiskā finansējuma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noteikts, ka projekta gala rezultātam obligāti jābūt praktiski pielietojamam un komerciāli izmantojamam risinājumam, kas sasniedz pietiekamu tehnoloģiskās gatavības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paredz, ka darba grupai jānodrošina rezultāta ieviešana praksē vai jāiesniedz skaidrs ieviešanas plāns ar termiņiem, atbildīgajiem partneriem un paredzēto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precizējumi nodrošina to, ka finansējums tiek ieguldīts risinājumos, kuri sniedz reālu izmērāmu pienesumu uzņēmumiem un nozarei. Līdz ar jaunajām prasībām vairs nebūs iespējams iesniegt projektus, kuru rezultāts ir tikai vadlīnijas, metodikas vai citi teorētiski materiāli, ja tie nenodrošina praktisku, izmantošanai gatavu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svītrota atsauce par to, ka atbalstu nepiešķir intelektuālā īpašuma tiesību projektiem. Saskaņā ar Eiropas Komisijas skaidrojumu intervencē drīkst atbalstīt intelektuālā īpašuma radīšanu un nostiprināšanu, ja tas ir tieši saistīts ar projekta praktiski izmantojamu gala rezultātu. Tādējādi projektos būs iespējams pieteikt intelektuālā īpašuma izveidi vai aizsardzību, ja tas ir vajadzīgs risinājuma komercializācijai un ieviešanai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svītrota atsauce par to, ka no projekta radītajiem digitālajiem risinājumiem nevar gūt peļņu. Projekta īstenošanas laikā radītā digitālā risinājuma pamatfunkcionalitātei projekta laikā jābūt pieejamai bez maksas, savukārt pēc projekta beigām risinājuma uzturēšana, attīstīšana vai papildu funkcionalitāte var tikt sniegta kā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precizēts noteikumu Nr. 613 11. punkts, lai vienkāršotu un padarītu skaidrāku prasību par dubultā finansējuma riska novēršanu, nosakot, ka projekta iesniegumā ir jānorāda visi citi īstenotie vai plānotie projekti un jāskaidro, kā tiek novērsts risks, ka par vienām un tām pašām darbībām netiek saņemts finansējums no vairākiem avotiem. Noteikumu Nr. 613 11.1., 11.2. un 11.3. apakšpunkts svītroti, jo tie bija pārāk detalizēti, radīja lieku administratīvo slogu un dublēja ES definīcijas par pētniecības un inovāciju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palielināts slieksnis līdz 10 000 eiro, līdz kuram iepirkuma dokumentācija nav jāiesniedz Lauku atbalsta dienestā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svītrots noteikumu Nr. 613 18. punkts, jo tas pārklājas ar noteikumu Nr. 613 11.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un 10. punktā precizēti nosacījumi par to, kas uzskatāma par darba grupu, kā arī noteikts, ka darba grupā jāiesaistās dalībniekiem no dažādām jomām, kas minētas noteikumi Nr. 613 22. punktā. Ar noteikumu projekta 10. punktu ieviests papildu nosacījums nozares projektiem, t. i., sadarbībā obligāti jāiesaistās vismaz trim lauksaimniekiem vai mežsaimniekiem. Šāds precizējums nepieciešams, lai nodrošinātu pietiekamu praktiskās nozares pārstāvniecību un to, ka izstrādātā risinājuma pamatā ir reālās nozares vajadzībās un tam ir potenciāls plašākai ieviešanai nozares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svītrots noteikumu Nr. 613 23.4. apakšpunkts, jo tā saturs vairs netiek regulēts šajā nodaļā. Minētais apakšpunkts pārnests uz sadarbības līguma nodaļu, konkrēti uz noteikuma projekta 12. punktu (noteikumu Nr. 613 26.4. apakšpunkta) jauno redakciju, kurā tas funkcionāli labāk iederas un tiek piemērots tieši līguma slēgšanas un sadarbības organizēšanas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 14. un 15. punktā ieviestie precizējumi paredz, ka projektiem jābūt praktiski orientētiem un pamatotam ar reālajām nozares vajadzībām. Tāpēc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noteikumu Nr. 613 27.1.2.5. apakšpunktā noteikts, ka jānorāda sākotnējais TRL līmenis un jāapraksta, kā tas tiks paaugstināts projekta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noteikumu Nr. 613 27.1.2.6. apakšpunktā ietverta prasība norādīt, kur tieši projekta rezultāti tiks ieviesti praksē (konkrēti uzņēmumi, saimniecības vai nozares segmenti) un kāda būs sagaidāmā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noteikumu Nr. 613 27.1.2.12. apakšpunktā noteikts, ka papildus tirgus izpētei un ekonomiskajai analīzei ir jāsniedz nozares vajadzību pamatojums, lai pamatotu risinājuma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precizējumi nodrošina to, ka atbalsts tiek piešķirts projektiem ar skaidru attīstības ceļu, izmērāmiem rezultātiem un reālu ieviešanas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jaunā redakcijā izteikts noteikumu Nr. 613 33. punkts, nosakot plašāku noraidīšanas pamatu: projekts tiek noraidīts arī tad, ja ieguldījums nav samērīgs ar mērķiem vai mērķi neatbilst plānotajām izmaksām, papildus saglabājot nosacījumu par minimālo ekspertu punktu slieksni. Tas nodrošina stingrāku un labāk pamatotu projektu kvalitātes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punktā precizēts noteikumu Nr. 613 39. punkts, svītrojot atsauci uz 38. punktā minēto kopsavilkumu. Eiropas Inovāciju partnerības tīkla Sekretariāts ir izstrādājis un ieviesis savu vienotu informācijas iesniegšanas formu, kurā noteikts, kādā struktūrā un apjomā darba grupām jāsniedz informācija par projekta īstenošanas gaitu, tāpēc noteikumos nav jādod atkārtota atsauce uz 38. punktā minēto kopsavilkumu.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punktā precizēts noteikumu Nr. 613 40. punkts. Ieviesta prasība sagatavot projekta noslēguma pārskatu, lai nodrošinātu vienotu un pilnīgu informācijas apkopojumu par projekta īstenošanu un rezultātiem. Pārskatā iekļaujama 38. punktā prasītā informācija, kā arī projekta darbību, sasniegto mērķu, risināto problēmu, ieguvumu galalietotājiem, praktisko rezultātu un secinājumu apraksts.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punktā ietverts jauns punkts, lai noteiktu, ka vadošajam partnerim ir jānodrošina viena kontaktpersona visam projekta īstenošanas un uzraudzības periodam, kā arī visam 2023.–2027. gada plānošanas periodam. Kontaktpersona ir atbildīga par saziņu ar Lauku atbalsta dienestu un Eiropas Inovāciju partnerības tīkla Sekretariātu, kā arī par informācijas sniegšanu par projekta īstenošanu un rezultātu publiskošanu.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precizējums ieviests, lai nodrošinātu vienotu, nepārtrauktu un efektīvu komunikāciju, kā arī skaidru atbildību par projekta informācijas apriti un publicitāti.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punktā tiek precizēts noteikumu Nr. 613 45. punkts, nosakot, ka līdzās vispārējai 40 % atbalsta intensitātei produktīvām investīcijām tiek ieviests jauns nosacījums pētniecības organizācijām. Ja pētniecības organizācijas projektā iegādājas materiāltehnisko bāzi (iekārtas, instrumentus, aprīkojumu, laboratorijas tehniku), tām tiek piemērota 90 % atbalsta intensitāte. Šis papildinājums ieviests, lai veicinātu pētniecības kapacitātes stiprināšanu un nodrošinātu inovāciju projektiem nepieciešamo tehnisko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punktā noteikts precīzāks un stingrāks regulējums, nosakot, ka pēdējā maksājuma summa ir vismaz 10 procentu no attiecināmajām izmaksām un tā tiek izmaksāta tikai pēc pilnīgas ieguldījumu īstenošanas un rezultātu publiskošanas. Šis precizējums ieviests, lai nodrošinātu lielāku projekta rezultātu izsekojamību, atbildību un praktisku ieviešanu, pirms tiek izmaksāta pēdējā atbalsta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punktā svītrots noteikumu Nr. 613 53.1.8. apakšpunkta nosacījums par  informācijas tehnoloģiju ārējo pakalpojumu izmaksu 50  procentu apmērā. Atsevišķa augstāka robeža IT pakalpojumiem radīja nevajadzīgu izņēmumu un neatbilda vienotai izmaksu kontroles pieejai. Pēc normas svītrošanas būs konsekvents un vienlīdzīgs attiecināmo izmaksu regulējums visiem ārējiem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punktā iekļauts jauns punkts, kas nosaka papildu prasības projektiem ar informācijas tehnoloģiju risinājumiem. Atbalsta saņēmējam uzraudzības periodā jānodrošina, lai IT risinājums ir pieejams un izmantojams atbilstoši projekta mērķim. Tāpat Lauku atbalsta dienests divus gadus pēc projekta pabeigšanas īstenos ar projektu saistīto datubāzu un iesniegtās informācijas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precizējums ieviests, lai nodrošinātu to, ka IT risinājumi ir funkcionāli, uzturēti un praktiski izmantojami arī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un 25. punktā precizēti nosacījumi starpvalstu sadarbības projektiem, nosakot, ka starpvalstu projekti ir tikai nozares mēroga projekti, kuros piedalās vismaz divu dalībvalstu darba grupas, kopīgi īstenojot projekta mērķus un darbības. Tāpat noteikts, ka starpvalstu sadarbības projekti tiek vērtēti kā nacionālās nozīmes projekti un uz tiem pilnībā attiecas visi noteikumu nosacījumi, kas piemērojami nacionālās nozīmes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starpvalstu sadarbības projektu uzskatāms tikai tāds projekts, kurā piedalās vismaz divu dalībvalstu darba grupas, kopīgi īstenojot mērķus un aktivitātes un sniedzot savstarpēji papildinošu ieguldījumu. Šis nosacījums ieviests, lai nodrošinātu, ka starpvalstu sadarbība ir saturiska un ka projekta rezultāti ir praktiski izmantojami visiem iesaistītajiem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Nr. 613 19. punkta redakciju "aprēķinot 70 procentu partneru izmaiņas, kopējā partneru skaitā ieskaitāmas arī pētniecības organizācijas" jāpaskaidro, ka, vērtējot partneru atkārtotību, pētniecības organizācijas tiek uzskatītas nevis par atkārtotiem partneriem, bet gan par jauniem partneriem, jo to iesaiste projektos ir rotējoša un bieži vien mainīga.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un mežsaimnieki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inovācijās ieinteresētās personas, kas iesaistās EIP darba grupās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precizē prasības darba grupu sastāvam (noteikumu Nr.613 23. punkts), kas fiziskajām personām nosaka skaidrākus kritērijus dalībai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papildu pienākumus attiecībā uz projekta rezultātu publiskošanu un pieejamību (noteikumu Nr.613 40. un 41.</w:t>
      </w:r>
      <w:r w:rsidR="00000000" w:rsidRPr="00000000" w:rsidDel="00000000">
        <w:rPr>
          <w:vertAlign w:val="superscript"/>
          <w:rtl w:val="0"/>
        </w:rPr>
        <w:t xml:space="preserve">1</w:t>
      </w:r>
      <w:r w:rsidR="00000000" w:rsidRPr="00000000" w:rsidDel="00000000">
        <w:rPr>
          <w:rtl w:val="0"/>
        </w:rPr>
        <w:t xml:space="preserve"> punkts), kas attiecas arī uz fiziskajām personām kā projekta īstenotājiem.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 vai kooperatīvi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un mežsaimnieki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precizē prasības darba grupu sastāvam  (noteikumu Nr.613 22. un 23. punkts), kas juridiskajām personām nosaka skaidrākus pienākumus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Juridiskajām personām tiek noteikti papildu pienākumi attiecībā uz TRL sākuma līmeņa norādīšanu un attīstības pamatojumu (noteikumu Nr.613 27.1.2.5.</w:t>
      </w:r>
      <w:r w:rsidR="00000000" w:rsidRPr="00000000" w:rsidDel="00000000">
        <w:rPr>
          <w:vertAlign w:val="superscript"/>
          <w:rtl w:val="0"/>
        </w:rPr>
        <w:t xml:space="preserve">1 </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pienākumi par projekta rezultātu publiskošanu, beigu pārskata sagatavošanu un informācijas pieejamību (noteikumu Nr.613 39., 40., 41.</w:t>
      </w:r>
      <w:r w:rsidR="00000000" w:rsidRPr="00000000" w:rsidDel="00000000">
        <w:rPr>
          <w:vertAlign w:val="superscript"/>
          <w:rtl w:val="0"/>
        </w:rPr>
        <w:t xml:space="preserve">1 </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procesu izmaiņas,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iepirkumu dokumentācijas iesniegšanas kārtības precizēšanu (noteikumu Nr.613 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nosacījumus par pēdējā maksājuma saņemšanu un ieviešanas plāna iesniegšanu (noteikumu Nr.613 51.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IT risinājumu uzraudzības periodu (61.</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organizācijām tiek noteikti intensitātes precizējumi produktīvajām investīcijām (noteikumu Nr.613 45.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nosaka skaidrākus nosacījumus starpvalstu sadarbības projektiem (65.un 66. punkts), kas ietekmē juridisko personu iespējas un pienākumus šādos projektos.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Jaunākais pieejamais CSP rādītājs - 12,12 EUR (CSP 2025. gada 3. ceturksnis)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Pamatots pieņēmums TRL informācijas sagatavošanai (sākotnējais TRL, plānotā attīstība, darbības TRL paaugstināšanai).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Vidēji gadā tiek iesniegti ~20 EIP darba grupu projekti.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TRL informācija tiek sniegta vienreiz- projekta iesnieguma sagatavošanā.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par noteikumu projektu 13.punktu. Administratīvo izmaksu aprēķinā izmantota jaunākā CSP vidējā stundas likme (12,12 EUR). 
Laika patēriņš atspoguļo darbu apjomu, kas nepieciešams TRL informācijas sagatavošanai vienai EIP darba grupai. 3 stundas ir pamatots pieņēmums, jo tas ietver:
– TRL prasību un metodikas iepazīšanos;
– sākotnējā TRL noteikšanu un esošās situācijas izvērtēšanu;
– plānoto darbību formulēšanu TRL paaugstināšanai, saskaņojot ar sadarbības partneriem;
– informācijas sagatavošanu un ievadi projekta iesniegumā.
Subjektu skaits atspoguļo to juridisko personu skaitu, kuriem gada laikā jāsniedz TRL informācija. Par subjektu tiek uzskatīts projekta iesniedzējs – juridiska persona (EIP darba grupa). Lai gan darba grupā piedalās dažādi partneri, pienākums attiecas tikai uz projekta iesniedzēju. Vidējais 20 projektu rādītājs balstīts uz iepriekšējo gadu statistiku par iesniegtajiem EIP darba grupu projektiem, tādēļ aprēķinā izmantots n = 20 kā reprezentatīvs gada vidējais apjoms.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nevalstiskās organizācijas vai kooperatīvi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pētniecības organizācijas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un mežsaimnieki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studenti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un mežsaimnieki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konsultanti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pētnieki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citas inovācijās ieinteresētās personas, kas iesaistās EIP darba grupās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studenti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un mežsaimnieki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konsultanti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pētnieki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citas inovācijās ieinteresētās personas, kas iesaistās EIP darba grupās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iekļauto grozījumu izpilde par jaunu nosacījumu atbalsta intensitātei līdz 90% apmērā pētniecības organizācijām, iegādājoties materiāltehnisko bāzi, tiks nodrošināta Latvijas Kopējās lauksaimniecības politikas stratēģiskā plāna 2023.–2027. gadam intervencei "Atbalsts Eiropas Inovāciju partnerības darba grupu projektu īstenošanai" pieejamā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"Latvijas Holšteinas šķirnes lopu 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konsultāciju un izglītības centrs, Dārzkopības institūts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https://tapportals.mk.gov.lv/public_participation/63697185-dfc1-49b2-bdb9-db1051b3d253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tika saņemti iebildumi no trim iesniedzējiem — Dārzkopības institūta un LOSP, Latvijas Holšteinas šķirnes lopu audzētāju asociācijas un SIA "Latvijas Lauku konsultāciju un izglītības centrs". Iebildumi galvenokārt skar četras tēmas: konsultanta definīcijas tvērumu, projekta gala rezultāta prasības (īpaši komercializācijas nosacījumu), atbalsta intensitātes un maksimālo summu apmēru, kā arī tehniskus jautājumus par TRL piemērošanu, personāla atalgojuma likmēm un izmaksu sadalījumu pa darbībām. Vairāki iesniedzēji norāda, ka daļa inovāciju lauksaimniecībā pēc būtības nav komercializējamas, taču sniedz nozīmīgu praktisku ieguldījumu, un tādēļ nedrīkstētu tikt izslēgtas no atbalsta instrumenta. Tāpat tika akcentētas problēmas saistībā ar daudzgadīgo stādījumu projektu novērtēšanu un pētniecības organizāciju nepietiekamo motivāciju iesaistīties saimniecību līmeņa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izvērtējot iebildumus, akceptēja priekšlikumu precizēt projekta gala rezultāta definīciju, paredzot, ka rezultāts var būt arī nekomerciāls, ja tas ir praktiski ieviešams un ekonomiski pamatots, kā arī nolēma svītrot kritēriju par pilnu ražošanas ciklu, tādējādi novēršot daudzgadīgo stādījumu projektu nepamatotu diskvalifikāciju. Pārējos iebildumus ministrija neatbalstīja, norādot, ka atbalsta intensitātes un maksimālās summas ir noteiktas KLP Stratēģiskā plāna budžeta ietvarā un to maiņa šobrīd nav iespējama, savukārt jautājumi par TRL piemērošanu, konsultanta definīciju un atalgojuma likmēm risināmi LAD individuālā projektu vērtēšanas procesā, nevis MK noteikumu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Saņemtie iebildumi un priekšlikumi ir apkopoti un izvērtēti (sk. papildu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"Latvijas Lauku konsultāciju un izglītības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26-TA-528</w:t>
    </w:r>
    <w:r>
      <w:br/>
    </w:r>
    <w:r w:rsidR="00000000" w:rsidRPr="00000000" w:rsidDel="00000000">
      <w:rPr>
        <w:rtl w:val="0"/>
      </w:rPr>
      <w:t xml:space="preserve">Izdrukāts 29.07.2026. 22.27 - 5.0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26-TA-528</w:t>
    </w:r>
    <w:r>
      <w:br/>
    </w:r>
    <w:r w:rsidR="00000000" w:rsidRPr="00000000" w:rsidDel="00000000">
      <w:rPr>
        <w:rtl w:val="0"/>
      </w:rPr>
      <w:t xml:space="preserve">Izdrukāts 29.07.2026. 22.27 - 5.0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anotācija_(ex_ante)_26-TA-528.docx</dc:title>
</cp:coreProperties>
</file>

<file path=docProps/custom.xml><?xml version="1.0" encoding="utf-8"?>
<Properties xmlns="http://schemas.openxmlformats.org/officeDocument/2006/custom-properties" xmlns:vt="http://schemas.openxmlformats.org/officeDocument/2006/docPropsVTypes"/>
</file>