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Eiropas Lauksaimniecības fonda lauku attīstībai intervencē "Atbalsts Eiropas Inovāciju partnerības darba grupu projektu īstenošanai" atklātu projektu iesniegumu konkursu veidā 2023.–2027. gada plānošanas periodam"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piešķiršanas kārtība Eiropas Lauksaimniecības fonda lauku attīstībai intervencē "Atbalsts Eiropas Inovāciju partnerības darba grupu projektu īstenošanai" atklātu projektu iesniegumu konkursu veidā 2023.–2027. gada plānošanas periodam" (turpmāk – noteikumu projekts) ir sagatavots, pamatojoties uz Lauksaimniecības un lauku attīstības likuma 5. panta ceturto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2022. gada 11. novembra Īstenošanas lēmumu Nr. CCI: 2023LV06AFSP001 ar kuru apstiprina Latvijas 2023.–2027. gada KLP stratēģisko plānu attiecībā uz Savienības atbalstu, ko finansē no Eiropas Lauksaimniecības garantiju fonda un Eiropas Lauksaimniecības fonda lauku attīstībai (turpmāk – Īstenošanas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2022. gada 6. septembra Īstenošanas regulu (ES) 2022/1475, ar ko nosaka sīki izstrādātus noteikumus par to, kā Eiropas Parlamenta un Padomes Regulu (ES) 2021/2115 īsteno attiecībā uz KLP stratēģisko plānu izvērtēšanu un uzraudzībai un izvērtēšanai vajadzīgās informācijas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Komisijas 2022. gada 14. decembra Regulu (ES) 2022/2472, ar kuru, piemērojot Līguma par Eiropas Savienības darbību 107. un 108. pantu, dažu kategoriju atbalstu lauksaimniecības un mežsaimniecības nozarē un lauku apvidos atzīst par saderīgu ar iekšējo tirgu.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janvārī stājas spēkā Latvijas Kopējās lauksaimniecības politikas stratēģiskais plāns 2023.–2027. gadam (turpmāk – KLP stratēģiskais plāns) un sākās jaunais 2023.–2027. gada Eiropas Lauksaimniecības garantiju fonda un Eiropas Lauksaimniecības fonda lauku attīstībai plānošanas periods. Noteikumi nosaka Valsts un Eiropas Savienības atbalsta piešķiršanas kārtību intervencē "Atbalsts Eiropas Inovāciju partnerības darba grupu projektu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jauno Kopējās lauksaimniecības politikas stratēģiskā plāna 2023.–2027. gadam (turpmāk – KLP SP) plānošanas periodu, nepieciešami jauni Ministru kabineta noteikumi, jo ir pieņemti jauni Eiropas Savienības normatīvie akti par atbalsta piešķiršanu lauku attīstībai no Eiropas Lauksaimniecības fonda lauku attīstībai (turpmāk – ELFLA). 2022. gada 11. novembrī Eiropas Komisija apstiprināja Zemkopības ministrijas izstrādāto KLP SP 2023.–2027. gadam. Noteikumu projektā noteiktās intervences "Atbalsts Eiropas Inovāciju partnerības darba grupu projektu īstenošanai" (turpmāk – intervence) mērķis ir veicināt sadarbību lauksaimniecībā, mežsaimniecībā un lauksaimniecības produktu (izņemot zivsaimniecības produktu) pārstrādē, lai risinātu šo nozaru praktiskās vajadzības, dodot iespēju izstrādāt jaunus produktus, procesus, tehnoloģijas un metodes, kas, ieviestas praksē, sniegtu praktisku uzlabojumu saimnieciskajā darbībā vai nodrošinātu resursu efektīvu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mežsaimniecības jomā galvenais trūkums ir nepietiekama savstarpējā sadarbība starp zinātniskajām institūcijām un lauku uzņēmējiem-praktiķiem (lauksaimniecības, mežsaimniecības un lauksaimniecības produktu pārstrādes uzņēmumiem), lai veicinātu uz šo nozaru praktiskajām vajadzībām vērstu risinājumu izstrādi un to ieviešanu un pielietojumu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inovāciju un jaunu produktu, procesu, tehnoloģiju un metožu attīstībā sekmēs lauksaimniecības, pārtikas ražošanas un mežsaimniecības konkurētspēju un ilgtspējību, vienlaikus dodot ieguldījumu arī Eiropas inovāciju partnerības mērķu sasniegšanā, tostarp nodrošinot pētījumu rezultātu izplatīšanu, kā arī produktu un metožu izstrādi un to integrāciju ražošanas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atbalsts veicinātu ne tikai augstas pievienotās vērtības inovatīvu produktu ražošanu un zināšanu pārnesi, vienlaikus palielinot uzņēmumu konkurētspēju, pārstrukturēšanu un to iesaistīšanos vietējā un pasaules tirgos, bet arī lauku saimniecību tehnoloģisko attīstību, ekonomiskās dzīvotspējas uzlabošanu un ražīguma paaugstināšanu, praksē izmantojot sadarbības projektos radītās zināšanas un tehnoloģijas, tostarp digitālās. Tādējādi kopumā tiktu veicināta lauksaimniecības un mežsaimniecības nozaru attīstība.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intervenci, tiks atbalstīta ciešāka sadarbība starp lauksaimniecības, mežsaimniecības, pārtikas pārstrādes nozares pārstāvjiem, konsultantiem un pētniekiem, veicinot inovatīvu produktu, pakalpojumu un metožu izstrādi, kā arī pieejamo inovācijas pasākumu plašāku izmantošanu un jaunu risinājumu ātrāku un plašāku ieviešanu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Intervencē atbalsts tiks sniegts Eiropas Inovācijas partnerības (turpmāk - EIP) darba grupām inovatīvu projektu īstenošanai lauksaimniecības, mežsaimniecības un lauksaimniecības produktu pārstrādes nozarē, atbalstot tādu projektu īstenošanu, kas paredz inovatīvus risinājumus, nosakot ievērojami plašāku potenciālo labuma guvēju loku, tēmas aktualitāti un potenciālo pievienoto vērtību un sekmējot nozaru attīstību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atbalsts sekmēs lauksaimniecības, pārtikas ražošanas un mežsaimniecības konkurētspēju un ilgtspējību, nodrošinot pētījumu rezultātu izplatīšanu, kā arī izstrādāto produktu un metožu integrāciju ražošanas procesā. Tādējādi kopumā tiktu veicināta lauksaimniecības un mežsaimniecības nozaru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ir atsauce uz prioritārām jomām, kas tika noteiktas darba grupās, kuras organizēja Latvijas Lauku konsultāciju un izglītības centrs. Darba grupās piedalījās nevalstisko organizāciju, izglītības un pētniecības institūciju pārstāvji, konsultāciju sniedzēji, kā arī lauksaimnieki un mežsaimnieki. Prioritārās jomas ir apstiprinātas Lauksaimniecības, zivsaimniecības, pārtikas un meža nozares zināšanu un inovāciju stratēģiskajā vadības padomē, tomēr tās nav ierobežojošas un projekts var tikt vērsts arī uz citu tēmu risinājumu, ciktāl tas nav pretrunā ar EIP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Intervencē izveidojot sadarbību, EIP darba grupai ir jānoslēdz savstarpējs sadarbības līgums, kurā jāparedz sadarbības partneru funkciju sadale projekta īstenošanā, pienākumi un atbildība, jānosaka vadošais partneris, jānorāda plānotais kopējais finansējums, katra sadarbības partnera projekta daļas finansējums un katra sadarbības partnera ieguldījums sadalījumā pa ieguldījumu veidiem (finansiālais, materiālais vai cilvēkresursu ieguldījums), jāparedz norēķinu kārtība starp sadarbības partneriem un saistības, kas iziet no projekta īstenošanas. Tāpat jāparedz nosacījumi un kārtība par sadarbības partnera izstāšanos no grupas, kā arī līguma laušanas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terminos "inovācija" un "jauns produkts" (2.4. un 2.5. apakšpunkts) lietotais jēdziens "būtiski uzlabojumi" nozīmē, piemēram, jaunu funkciju pievienošanu, funkcionālo īpašību un lietojuma uzlabošanu, tostarp kvalitātes paaugstināšanu, finansiālo pieejamību, lietojamības, ērtuma uzlabošanu, ekonomiskāku izmantošanu, izturības palielināšanu, produkta dzīves cikla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produktu pārstrādes uzņēmums ir saimnieciskās darbības veicējs, kā arī individuālais komersants vai juridiska persona, kas pārstrādā lauksaimniecības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Inovāciju partnerības darba grupa ir tāda darba grupa, ko izveidojuši sadarbības partneri, lai īstenotu projektus, kas sekmē Eiropas Inovāciju partnerības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Obligāts intervences nosacījums ir rezultātu publiskošana (rezultāts nav patentējams), lai nodrošinātu, ka projekta rezultāts tiek plaši izplatīts un praksē ieviesti inovatīvi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finansējums sadalīts šādi: vienai EIP darba grupai nozares līmenī kopējā attiecināmo izmaksu summa nepārsniedz 300 000 </w:t>
      </w:r>
      <w:r w:rsidR="00000000" w:rsidRPr="00000000" w:rsidDel="00000000">
        <w:rPr>
          <w:i w:val="1"/>
          <w:rtl w:val="0"/>
        </w:rPr>
        <w:t xml:space="preserve">euro</w:t>
      </w:r>
      <w:r w:rsidR="00000000" w:rsidRPr="00000000" w:rsidDel="00000000">
        <w:rPr>
          <w:rtl w:val="0"/>
        </w:rPr>
        <w:t xml:space="preserve">, bet vienai EIP darba grupai saimniecības līmenī kopējā attiecināmo izmaksu summa nepārsniedz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saņēmējs, īstenojot projektu, iegādājas tehniku, iekārtas un to aprīkojumu, kas turpmāk var tikt izmantoti saimnieciskajā darbībā, paredzēta arī projekta uzraudzība – pieci gadi pēc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šajā intervencē par vienām un tām pašām attiecināmajām izmaksām nevar pārklāties ar atbalstu no citiem līdzīgiem atbalsta pasākumiem. Demarkācija un potenciālais dubultā finansējuma risks tiks novērsts, projektu līmenī Lauku atbalsta dienestam sadarbojoties ar Centrālo un finanšu līgumu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informatīvo ziņojumu "Latvijas Viedās specializācijas monitoringa sistēma" (izskatīts Ministru kabinetā 15.09.2015.; protokols Nr. 47, 35.§) (turpmāk – informatīvais ziņojums par RIS3 monitoringu) intervence ir noteikta par vienu no Latvijas Viedās specializācijas stratēģijas (turpmāk – RIS3) īstenošanas instrumentiem, tajā īstenotās darbības tiešā veidā sniegs ieguldījumu RIS3 īstenošanā un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Iesniegtie projektu iesniegumi sākotnēji tiks sarindoti atbilstoši noteikumu projekta 1. pielikumā minētajiem projektu atlases kritēriju punktiem, kuri ir izskatīti un š. g. 26. septembrī apstiprināti KLP stratēģiskā plāna 2023.–2027. gadam Uzraudzības komitejā. Prioritāri atbalstu var saņemt tādi atbalsta pretendenti, kas ieguvuši lielāku projektu atlases punktu skaitu un atbilst atbalsta saņemšanas nosacījumiem. Ja projektu iesniegumu atlasē iegūto punktu skaits ir vienāds, priekšroka dodama projekta iesniegumam ar mazāku Eiropas Lauksaimniecības fonda lauku attīstībai (ELFLA) līdzfinansējumu un mazāku projekta attiecināmo izmaksu summu. Lielāks punktu skaits tiek piešķirts šādos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darbības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pieprasītā finansējuma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pielietojuma diapazons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EIP darba grupas partneru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rezultātu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projekta ietekme uz ražošanas ciklu;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projekta attiecināmo izmaksu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projekta gatavība;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projekta ekonomiskā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eksperti novērtē projekta kvalitāti (2. pielikums) tiem projektiem, kuru īstenošanai attiecīgajā kārtā publiskais finansējums ir pietiekams. 2. pielikuma kritēriji arī ir izskatīti un apstiprināti KLP stratēģiskā plāna 2023.–2027. gadam Uzraudzības komitejā. Projekta kvalitāti novērtē pēc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inovācija;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identificēto risināmo jautājumu (vajadzību vai problēmu) novērtējuma kvalitāte un tā loģiskā sasaiste ar projekta mērķiem un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ietekmes novērtējums uz primārajiem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ieguvums nozarei un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risku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ekonomiskās lietderības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kopējais paredzamais finansējums un tā atbilstība projekta mērķu sasniegšanai, kā arī finansējuma sadalījums starp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projektu, tiks sagatavota metodika "Vienas vienības izmaksas – stundas likmes atalgojums sadarbības partneriem”. Metodika tiks sagatavota un saskaņota līdz projekta iesniegšanas izsludināšanas kārtai.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KLP finansētās darbības nepārklājass ar citu ES fondu finansētām darbībām, Lauku atbalsta dienestam (turpmāk – LAD) ir izveidota tieša sasaiste ar Eiropas Savienības struktūrfondu un Kohēzijas fonda vadības informācijas sistēmu, kurā iespējams pārbaudīt projektu nepārklāšanās un atbalsta nedublēšanos. Ir paredzēts, ka LAD sadarbībā ar citām attiecīgām iestādēm, izmantojot šo sistēmu, veic pārbaudi jau projektu iesniegšanas brīdī arī projektu uzskaites sistēmā, lai nodrošinātu to, ka par vieniem un tiem pašiem ieguldījumiem netiek saņemts dubults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primārā ražotāja izaugsmi un palielinās tā konkurētspēju, tā sekmējot nozares konkurētspēju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pretendentiem, kas ir EIP darba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EIP darba grupu ir izveidojuši sadarbības partneri tāda projekta īstenošanai, kas sekmē EIP mērķu sasniegšanu. EIP darba grupa apvieno vismaz trīs dažādus un neatkarīgus sadarbības partnerus – lauksaimniekus, mežsaimniekus, lauksaimniecības produktu pārstrādātājus,  lauksaimniecības, mežsaimniecības vai lauksaimniecības produktu pārstrādes nozares nevalstisko organizāciju vai kooperatīvu pārstāvjus, pētniekus (arī studentus), konsultantus vai citas inovācijās ieinteresētās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visā 2023.–2027. gada plānošanas periodā indikatīvi plānotas 95 EIP darba grupas.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izaugsmi un palielinās konkurētspēju, tā sekmējot arī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saimniecību un saimniecisko darbību veicēju izaugsmi un palielinās konkurētspēju, tā palielinot arī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mikrouzņēmumus, kā arī mazos un vidējos uzņēmumus, jo dod iespēju radīt un attīstīt jaunus produktus.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un mežsaimniecības uzņēmumu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2022. gada 18. janvāra protokolu Nr. 3 34.§ "Informatīvais ziņojums "Par Latvijas Kopējās lauksaimniecības politikas stratēģisko plānu 2023.–2027. gadam"" norādīto indikatīvo finansējumu un Latvijas Kopējās lauksaimniecības politikas stratēģisko plānu 2023.–2027. gadam intervencei "Atbalsts Eiropas Inovāciju partnerības darba grupu projektu īstenošanai" publiskais finansējums apstiprināts 17 500 000 </w:t>
            </w:r>
            <w:r w:rsidR="00000000" w:rsidRPr="00000000" w:rsidDel="00000000">
              <w:rPr>
                <w:sz w:val="24"/>
                <w:i w:val="1"/>
                <w:rtl w:val="0"/>
              </w:rPr>
              <w:t xml:space="preserve">euro </w:t>
            </w:r>
            <w:r w:rsidR="00000000" w:rsidRPr="00000000" w:rsidDel="00000000">
              <w:rPr>
                <w:sz w:val="24"/>
                <w:rtl w:val="0"/>
              </w:rPr>
              <w:t xml:space="preserve">apmērā (no tā ES līdzfinansējums 85 % jeb 14 875 000 </w:t>
            </w:r>
            <w:r w:rsidR="00000000" w:rsidRPr="00000000" w:rsidDel="00000000">
              <w:rPr>
                <w:sz w:val="24"/>
                <w:i w:val="1"/>
                <w:rtl w:val="0"/>
              </w:rPr>
              <w:t xml:space="preserve">euro </w:t>
            </w:r>
            <w:r w:rsidR="00000000" w:rsidRPr="00000000" w:rsidDel="00000000">
              <w:rPr>
                <w:sz w:val="24"/>
                <w:rtl w:val="0"/>
              </w:rPr>
              <w:t xml:space="preserve">un valsts finansējums 15 % jeb 2 625 000 </w:t>
            </w:r>
            <w:r w:rsidR="00000000" w:rsidRPr="00000000" w:rsidDel="00000000">
              <w:rPr>
                <w:sz w:val="24"/>
                <w:i w:val="1"/>
                <w:rtl w:val="0"/>
              </w:rPr>
              <w:t xml:space="preserve">euro</w:t>
            </w:r>
            <w:r w:rsidR="00000000" w:rsidRPr="00000000" w:rsidDel="00000000">
              <w:rPr>
                <w:sz w:val="24"/>
                <w:rtl w:val="0"/>
              </w:rPr>
              <w:t xml:space="preserve">). Atbalsta publiskais finansējums sadalīts pa gadiem vienādās daļās: 2024. gadā – 3 500 000 </w:t>
            </w:r>
            <w:r w:rsidR="00000000" w:rsidRPr="00000000" w:rsidDel="00000000">
              <w:rPr>
                <w:sz w:val="24"/>
                <w:i w:val="1"/>
                <w:rtl w:val="0"/>
              </w:rPr>
              <w:t xml:space="preserve">euro,</w:t>
            </w:r>
            <w:r w:rsidR="00000000" w:rsidRPr="00000000" w:rsidDel="00000000">
              <w:rPr>
                <w:sz w:val="24"/>
                <w:rtl w:val="0"/>
              </w:rPr>
              <w:t xml:space="preserve"> 2025. gadā – 3 500 000 </w:t>
            </w:r>
            <w:r w:rsidR="00000000" w:rsidRPr="00000000" w:rsidDel="00000000">
              <w:rPr>
                <w:sz w:val="24"/>
                <w:i w:val="1"/>
                <w:rtl w:val="0"/>
              </w:rPr>
              <w:t xml:space="preserve">euro,</w:t>
            </w:r>
            <w:r w:rsidR="00000000" w:rsidRPr="00000000" w:rsidDel="00000000">
              <w:rPr>
                <w:sz w:val="24"/>
                <w:rtl w:val="0"/>
              </w:rPr>
              <w:t xml:space="preserve"> 2026. gadā – 3 500 000 </w:t>
            </w:r>
            <w:r w:rsidR="00000000" w:rsidRPr="00000000" w:rsidDel="00000000">
              <w:rPr>
                <w:sz w:val="24"/>
                <w:i w:val="1"/>
                <w:rtl w:val="0"/>
              </w:rPr>
              <w:t xml:space="preserve">euro,</w:t>
            </w:r>
            <w:r w:rsidR="00000000" w:rsidRPr="00000000" w:rsidDel="00000000">
              <w:rPr>
                <w:sz w:val="24"/>
                <w:rtl w:val="0"/>
              </w:rPr>
              <w:t xml:space="preserve"> 2027. gadā – 3 500 000 </w:t>
            </w:r>
            <w:r w:rsidR="00000000" w:rsidRPr="00000000" w:rsidDel="00000000">
              <w:rPr>
                <w:sz w:val="24"/>
                <w:i w:val="1"/>
                <w:rtl w:val="0"/>
              </w:rPr>
              <w:t xml:space="preserve">euro </w:t>
            </w:r>
            <w:r w:rsidR="00000000" w:rsidRPr="00000000" w:rsidDel="00000000">
              <w:rPr>
                <w:sz w:val="24"/>
                <w:rtl w:val="0"/>
              </w:rPr>
              <w:t xml:space="preserve">un 2028. gadā – 3 500 000 </w:t>
            </w:r>
            <w:r w:rsidR="00000000" w:rsidRPr="00000000" w:rsidDel="00000000">
              <w:rPr>
                <w:sz w:val="24"/>
                <w:i w:val="1"/>
                <w:rtl w:val="0"/>
              </w:rPr>
              <w:t xml:space="preserve">euro</w:t>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noteikumu projektā plānoto pasākumu īstenošanai Zemkopības ministrija pieprasīs normatīvajos aktos noteiktajā kārtībā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atbalstu intervences īstenošanai izmaksās no budžeta apakšprogrammas 65.10.00. "Maksājumu iestādes izdevumi Eiropas Lauksaimniecības fonda lauku attīstībai (ELFLA) projektu un pasākumu īstenošanai (2023–2027)".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32022R1475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6. septembra Īstenošanas regula (ES) 2022/1475, ar ko nosaka sīki izstrādātus noteikumus par to, kā Eiropas Parlamenta un Padomes Regulu (ES) 2021/2115 īsteno attiecībā uz KLP stratēģisko plānu izvērtēšanu un uzraudzībai un izvērtēšanai vajadzīgās informācijas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14. decembra Regula (ES) 2022/2472, ar kuru, piemērojot Līguma par Eiropas Savienības darbību 107. un 108. pantu, dažu kategoriju atbalstu lauksaimniecības un mežsaimniecības nozarē un lauku apvidos atzīst par saderīgu ar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2021/2115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127.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127.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127.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un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2021/2115 paredz visus iespējamos pasākumus, ko var atbalstīt ar Eiropas lauksaimniecības fondu lauku attīstībai starpniecību, un dalībvalstis, ņemot vērā ekonomisko un sociālo situāciju valstī, izvēlas konkrētus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2021/2115 dalībvalstīm paredz rīcības brīvību regulas ieviešanā, tomēr izvēlētajiem nosacījumiem ir jābūt aprakstītiem KLP stratēģiskajā plānā 2023.–2027. un pamatotiem ar visaptverošu SVID analīzi.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6. septembra Īstenošanas regula (ES) 2022/1475, ar ko nosaka sīki izstrādātus noteikumus par to, kā Eiropas Parlamenta un Padomes Regulu (ES) 2021/2115 īsteno attiecībā uz KLP stratēģisko plānu izvērtēšanu un uzraudzībai un izvērtēšanai vajadzīgās informācijas sniegšanu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2022/1475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2022/1475 paredz visus iespējamos pasākumus, ko var atbalstīt ar Eiropas lauksaimniecības fondu lauku attīstībai starpniecību, un dalībvalstis, ņemot vērā ekonomisko un sociālo situāciju valstī, izvēlas konkrētus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2022/1475 dalībvalstīm paredz rīcības brīvību regulas ieviešanā, tomēr izvēlētajiem nosacījumiem ir jābūt aprakstītiem KLP stratēģiskajā plānā 2023.–2027. un pamatotiem ar visaptverošu SVID analīzi.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2022. gada 14. decembra Regula (ES) 2022/2472, ar kuru, piemērojot Līguma par Eiropas Savienības darbību 107. un 108. pantu, dažu kategoriju atbalstu lauksaimniecības un mežsaimniecības nozarē un lauku apvidos atzīst par saderīgu ar iekšējo tirgu.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8., 13. un 64.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Lauku konsultāciju un izglītības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https://tapportals.mk.gov.lv/public_participation/9bb59269-6396-46aa-918e-0fcb3767ce1a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līdzdalības iznākumā tika saņemti komentāri no trīs organizācijām – SIA "Bulduru Dārzkopības vidusskola", Latvijas Biozinātņu un tehnoloģiju universitātes un SIA "Latvijas Lauku konsultāciju un izglītības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Saņemtie iebildumi un priekšlikumi ir apkopoti un izvērtēti (sk. papildu dokumentus).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Lauku konsultāciju un izglītības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23-TA-410</w:t>
    </w:r>
    <w:r>
      <w:br/>
    </w:r>
    <w:r w:rsidR="00000000" w:rsidRPr="00000000" w:rsidDel="00000000">
      <w:rPr>
        <w:rtl w:val="0"/>
      </w:rPr>
      <w:t xml:space="preserve">Izdrukāts 30.07.2026. 00.20 - 5.0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23-TA-410</w:t>
    </w:r>
    <w:r>
      <w:br/>
    </w:r>
    <w:r w:rsidR="00000000" w:rsidRPr="00000000" w:rsidDel="00000000">
      <w:rPr>
        <w:rtl w:val="0"/>
      </w:rPr>
      <w:t xml:space="preserve">Izdrukāts 30.07.2026. 00.20 - 5.0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anotācija_(ex_ante)_23-TA-410.docx</dc:title>
</cp:coreProperties>
</file>

<file path=docProps/custom.xml><?xml version="1.0" encoding="utf-8"?>
<Properties xmlns="http://schemas.openxmlformats.org/officeDocument/2006/custom-properties" xmlns:vt="http://schemas.openxmlformats.org/officeDocument/2006/docPropsVTypes"/>
</file>