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11. jūnija rīkojumā Nr. 283 "Par informācijas sabiedrības attīstības pamatnostādņu ieviešanu publiskās pārvaldes informācijas sistēmu jomā (mērķarhitektūras 48.0.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“Grozījumi Ministru kabineta 2019. gada 11. jūnija rīkojumā Nr. 283 “Par informācijas sabiedrības attīstības pamatnostādņu ieviešanu publiskās pārvaldes informācijas sistēmu jomā (mērķarhitektūras 48.0 versija)”” (turpmāk – rīkojuma projekts) ir izstrādāts pēc Labklājības ministrijas (turpmāk – LM) iniciatīvas,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Deklarācijas par Artura Krišjāņa Kariņa vadītā MK iecerēto darbību IV pasākuma “Moderna pārvaldība” 244. punktā minēto uzdevumu “Digitalizēsim un modernizēsim valsts un pašvaldību pārvaldes procesus, tai skaitā virzot vienotu valsts digitālo pakalpojumu atbalsta centra modeli, kas cels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2022. gada 21. jūnija sēdes protokola Nr. 33 81. § “Informatīvais ziņojums "Par darbības programmas "Izaugsme un nodarbinātība" 2.2.1. specifiskā atbalsta mērķa "Nodrošināt publisko datu atkalizmantošanas pieaugumu un efektīvu publiskās pārvaldes un privātā sektora mijiedarbību" projektu īstenošanu un pieejamā finansējuma mērķtiecīgu izmantošanu”” (22-TA-1711)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2022. gada 9. augusta rīkojumu Nr. 549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 – 2020. gada plānošanas periodam” (turpmāk – MK rīkojums Nr. 549).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pagarināt Eiropas Reģionālās attīstības fonda (turpmāk – ERAF) līdzfinansētā projekta “Publisko pakalpojumu daudzkanālu piegādes tehnoloģisko risinājumu izveide Valsts sociālās apdrošināšanas aģentūras pakalpojumu nodrošināšanai” (turpmāk - projekts)  kopējo īstenošanas termiņu līdz 47 mēnešiem, bet ne ilgāk kā līdz 2023. gada 15. decembrim, lai realizētu projektam papildus piešķirto finansējumu 800 000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ir apstiprināts ar MK 2019. gada 11. jūnija rīkojumu Nr. 283 “Par informācijas sabiedrības attīstības pamatnostādņu ieviešanu publiskās pārvaldes informācijas sistēmu jomā (mērķarhitektūras 48.0 versija)” (turpmāk – MK rīkojums Nr. 283), nosakot projekta darbības, īstenošanas laiku un finansējuma kopējo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Nr. 283 projekta kopējie izdevumi ir 2 500 000 </w:t>
      </w:r>
      <w:r w:rsidR="00000000" w:rsidRPr="00000000" w:rsidDel="00000000">
        <w:rPr>
          <w:i w:val="1"/>
          <w:rtl w:val="0"/>
        </w:rPr>
        <w:t xml:space="preserve">euro</w:t>
      </w:r>
      <w:r w:rsidR="00000000" w:rsidRPr="00000000" w:rsidDel="00000000">
        <w:rPr>
          <w:rtl w:val="0"/>
        </w:rPr>
        <w:t xml:space="preserve">, īstenošanas laiks - 36 mēneši, t.i., līdz 2023. gada 6.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aģentūras (turpmāk – VSAA) galvenais darbības virziens ir publisko pakalpojumu sociālās drošības jomā sniegšana iedzīvotājiem. Projekta sagatavošanas laikā VSAA nodrošina 62 pakalpojumus, no tiem 36 ir naudas maksājumi pensiju, pabalstu, atlīdzību un kompensāciju veidā, pārējie ir informatīva rakstura pakalpojumi. Fondēto pensiju shēmas dalībniekiem VSAA sniedz pakalpojumus ieguldījumu plānu izvēlei un maiņai, veikta pensijas kapitāla nodošana Eiropas Savienībai, kā arī sadarbībā ar apdrošināšanas sabiedrībām piedāvāta mūža pensijas apdrošināšanas polises iegāde. 2017. gadā  VSAA vidēji mēnesī sniedza ap 33 tūkst. konsultāciju, pieņēma ap 82 tūkst. lēmumus par klientu pieprasītajiem pakalpojumiem, nodrošināja ap 980 tūkst. naudas maksājumus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Klientu apkalpošanu klātienē nodrošina 35 VSAA klientu apkalpošanas centros, kā arī 78 Valsts un pašvaldību vienotajos klientu apkalpošanas centros (turpmāk - VPVKAC), kur iespējams pieprasīt 34 VSAA pakalpojumus. Sadarbība ar VPVKAC ir ievērojami uzlabojusi VSAA pakalpojumu pieejamību klientiem. VPVKAC iespējams pieprasīt pakalpojumus, kuru izpildei visa nepieciešamā informācija ir VSAA rīcībā. Pakalpojumu sniegšanas procesu apgrūtina tas, ka klientu iesniegumi no VPVKAC saņemami papīra formā, līdz ar to apritei un datu reģistrēšanai nepieciešams laiks un papildus darba ieguldījums, kas procesu padara neefektīvu.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piedāvā klientiem 13 elektroniskos pakalpojumus, nodrošinot daudzskaitlīgām klientu grupām pakalpojumu pieejamību neklātienē. Tomēr visas iespējas pakalpojumu pieprasīšanas un rezultātu paziņošanas posmu elektronizācijā vēl nav izsmeltas un nepieciešams tās paplašināt, izveidojot tās arī citiem VSAA pakalpojumiem. Analizējot pakalpojumu atbilstību elektronizācijas kritērijiem, konstatēts, ka vēl 10 VSAA pakalpojumus iespējams piedāvāt klientiem pieprasīt elektroniskā veidā, ņemot vērā, ka VSAA rīcībā ir visa pakalpojuma izpildei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pakalpojumu izpilde ir organizēta pēc teritoriālā principa atbilstīgi pakalpojuma pieprasītāja deklarētajai dzīvesvietai. Pakalpojumu procesu izpildes teritoriālā izkliedētība apgrūtina pakalpojumu procesu standartizāciju un personāla kvalifikācijas uzturēšanu, kas ir izšķirīgi svarīgi faktori VSAA pakalpojumu izpildes efektivitātei un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 sociālo tiesību īstenošanā nozīmīga loma ir iedzīvotāju informētībai un uzticībai valsts sociālās drošības sistēmai, motivējot iesaisti un līdzdalību tajā. Neraugoties uz Latvijas pensiju sistēmas augsto starptautisko novērtējumu, Latvijas iedzīvotāju uzticēšanās tai ir samērā zema. Saskaņā ar 2015. un 2016. gada pētījumu [2] datiem Latvijas iedzīvotāju gatavība pensijai uzskatāma par ļoti vāju - tikai 2.9 punkti no maksimāli iespējamajiem 10 punktiem, tādējādi sasniedzot viszemāko līmeni Baltijas valstu starpā. Uzticēšanās esošajai pensiju sistēmai un savām iespējām ir daudz zemāka nekā Lietuvā un Igaunijā. Iedzīvotāju neuzticēšanās sistēmai mazina vēlmi uzlabot savas zināšanas un mainīt uzvedību uzkrājumu veidošanai. Atsevišķu vecuma grupu iedzīvotāju aptaujā noskaidrots, ka 22 līdz 35 gadu vecu iedzīvotāju grupā [3] lielākā daļa jeb 92 procenti nezina vai tikai daļēji ir informēti par sava otrā pensiju līmeņa uzkrājumiem un to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plānotās aktivitātes VSAA pakalpojumu  procesu optimizēšanai ir nepieciešamas, lai  ar esošajiem personāla resursiem varētu izpildīt arvien pieaugošu darba apjomu. Bez šī projekta realizācijas to īstenot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VSAA statistikas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SEB banka sadarbībā ar Rīgas Ekonomikas augstskolu izstrādājusi metodoloģiju, pamatojoties uz kuru 2015. un 2016. gadā veikts pētījums PENSOMETRS par Baltijas valstu iedzīvotāju gatavību pensijas gadiem, kas ir pieejams https://www.researchgate.net/profile/Santa-Porina-Palsane/publication/296579555_Pensometrs_2016/links/56d6ab1608aee73df6c1c547/Pensometrs-2016.pdf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http://www.reitingi.lv/lv/news/sabiedriba/117328.htm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iedzīvotājiem nav iespējas visus VSAA pakalpojumus pieprasīt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sniegšanas piesaiste pakalpojuma saņēmēja deklarētās dzīvesvietas VSAA nodaļai rada nevienmērīgu darbinieku noslodzi dažādās VSAA nodaļās, apgrūtina procesu standartizāciju un nodarbināto kvalifikācijas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iespējams nodrošināt VSAA pakalpojumu sniegšanas monitoringam nepieciešamo statistikas rādītāju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neefektīvi un dārgi pakalpojumu sniegšanas procesi papīra dokumentu izmantošanas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nav pietiekami informēti par savām tiesībām sociālās drošības jomā un neizprot apstākļus, kas tās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nepilnīgi izmanto savas tiesības uz valsts garantētiem sociālās drošības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novecojuši datu apmaiņas risinājumi nenodrošina pietiekamu sociālās apdrošināšanas iemaksu datu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2022. gada 21. jūnija sēdē pieņemts lēmums (protokols Nr. 33 81. §) atbalstīt Vides aizsardzības un reģionālās attīstības ministrijas (turpmāk – VARAM) ierosinājumu novirzīt darbības programmas “Izaugsme un nodarbinātība” 2.2.1. specifiskā atbalsta mērķa “Nodrošināt publisko datu atkalizmantošanas pieaugumu un efektīvu publiskās pārvaldes un privātā sektora mijiedarbību” (turpmāk – SAM 2.2.1.) ietaupīto finansējumu SAM 2.2.1. 2.2.1.1. pasākuma “Centralizētu publiskās pārvaldes IKT platformu izveide, publiskās pārvaldes procesu optimizēšana un attīstība” ietvaros īstenotajam VSAA projektam, palielinot tā finansējumu par 800 000 </w:t>
      </w:r>
      <w:r w:rsidR="00000000" w:rsidRPr="00000000" w:rsidDel="00000000">
        <w:rPr>
          <w:i w:val="1"/>
          <w:rtl w:val="0"/>
        </w:rPr>
        <w:t xml:space="preserve">euro</w:t>
      </w:r>
      <w:r w:rsidR="00000000" w:rsidRPr="00000000" w:rsidDel="00000000">
        <w:rPr>
          <w:rtl w:val="0"/>
        </w:rPr>
        <w:t xml:space="preserve"> papildu darbību veikšanai un pagarinot kopējo īstenošanas termiņu ne ilgāk kā līdz 2023. gada 15.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sniegšanas procesa uzlabošanai, projekta īstenotājam papildu finansējuma apgūšanai ir jāuzņemas papildu saistības, t.i., darbu sadalē jāiekļauj 21 jauns pakalpojumu veids, kas ir sadalīti 4 pakalpojumu kopās un rezultātā būs 4 secīgi nodevumi, kas jāsagatavo un jāpielāgo procesiem nodaļās. Apstrāde jāizveido 93 dokumentu veidiem un jāizveido lietotāju prasmes apmēram 100 Sociālās apdrošināšanas informācijas sistēmas (turpmāk – SAIS) lietotāju. Darbu sadalē jāiekļauj 14 jauni masveidu procesi. Katrai pakalpojumu kopai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jāizveido jaunas lietotāju prasmes darbam ar kopā iekļautajiem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jāsakonfigurē programmatūra, lai nodrošinātu, ka informācijas sistēmās reģistrētie saņemtie dokumenti tiktu sadalīti SAIS reģistrētajiem lietotājiem atkarībā no lietotāju lomām, lietotājiem noteiktās prasmes, slodzes līmeņa un citiem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lai lietotājiem pārbaudei tiktu sadalītas masveida uzdevumu apstrādes rezultātā sagatavotās darbības ar pakalpojumiem, ņemot  vērā, ka daļai masveida uzdevumu pārbaude netiek veikta visām sagatavotajām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jāizstrādā funkcionalitāte, kas nodrošina ierobežojumus vai papildus iespējas darbā ar darbu sadales uzdevumiem, kas tiks aprakstītas biznesa prasībās katrai pakalpojumu 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izmaksas kontroles sarakstu pārbaudes uzdevumu sadale lietotājiem ar attiecīgo lomu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Aptuvenā darbietilpība uzdevumu veikšanai novērtēta ar 1400 c/d.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īstenošanai ir nepieciešams noteikt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Nr. 549 VSAA projektam pieejamā finansējuma apjoms palielināts par 800 000 </w:t>
      </w:r>
      <w:r w:rsidR="00000000" w:rsidRPr="00000000" w:rsidDel="00000000">
        <w:rPr>
          <w:i w:val="1"/>
          <w:rtl w:val="0"/>
        </w:rPr>
        <w:t xml:space="preserve">euro</w:t>
      </w:r>
      <w:r w:rsidR="00000000" w:rsidRPr="00000000" w:rsidDel="00000000">
        <w:rPr>
          <w:rtl w:val="0"/>
        </w:rPr>
        <w:t xml:space="preserve">, t.i. no 2 500 000 euro uz 3 300 000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veic valsts noteikto funkciju, un līdz ar to projekta finansējums netiks sniegts saimnieciskās darbības veikšanai un attiecīgi nav jāpiemēro valsts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Uzlabot VSAA pakalpojumu sniegšanas procesu efektivitāti, pilnveidojot informācijas sistēmu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Uzlabot VSAA pakalpojumu pieejamību elektroniskā vidē un valsts un pašvaldību vienotajos klientu apkalpošanas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informācijas pieejamību elektroniskā vidē par VSAA datiem un pakalpojumiem, pilnveidojot informācijas sniegšanas veidu un pārskatot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Uzlabot VSAA pakalpojumu sniegšanai nepieciešamo datu kvalitāti, pilnveidojot datu apmaiņas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pielāgot un ieviest dokumentu skenēšanas apakšsistēmu SAIS, tai skaitā, nepieciešamo metadatu saglabāšanai pie skenētā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 elektronisko dokumentu aprites un glabāšanas „shēmu” SAIS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Paplašināt e-iesniegumu klāstu e-pakalpojuma Nr.172 „E-iesniegums VSAA pakalpojumiem” ietvaros, izveidojot 11 jaunus e-iesniegumus, kurus var pieprasīt bez papildus dokumentu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Pilnveidot 12 informatīvos e-pakalpojumus, tai skaitā, saglabājot e-pakalpojuma rezultātu (iegūto izziņu) klienta darba vietā Valsts pārvaldes pakalpojumu portālā www.latvija.lv (turpmāk – portāls www.latvija.lv) vai aizstājot ar e-paneļa risinājumu klienta darba vietā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risinājumu VSAA pakalpojuma izpildes statusa nosūtīšanai uz klienta darba vietu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Pārveidot SAIS funkcionalitāti darbam pēc pakalpojumu apstrādes specializācijas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Izveidot VSAA pakalpojumu pieprasījumu sadales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Izveidot VSAA pakalpojumu apstrādes monitoringu, lai nodrošinātu darbinieku vienādu noslodzi un varētu operatīvi analizēt darba izpildes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Portālā www.latvija.lv izveidot jaunu e-pakalpojumu „Paziņojums par tiesībām uz VSAA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Pilnveidot datu apmaiņas ar Valsts ieņēmumu dienestu (turpmāk – VID) risinājumu, mainot tehnoloģiju un datu apstrādes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Izstrādāt un ieviest vēsturisko datu arhivēšanas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Izstrādāt 10 atvērto datu kopas un publicēt tās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Izveidot saskarni elektroniskai datu nodošanai uz Latvijas nacionālo arhīvu.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Lietojamības projektēšana un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VSAA pamatfunkcionalitātes atbalsta informācijas sistēmā izstrādāt darbu sadales konfigurāciju VSAA pakalpojumu apstrādei nepieciešamajiem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veikt MK rīkojumā Nr. 283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1. punktā noteiktās projekta izmaksas no 2 500 000 </w:t>
      </w:r>
      <w:r w:rsidR="00000000" w:rsidRPr="00000000" w:rsidDel="00000000">
        <w:rPr>
          <w:i w:val="1"/>
          <w:rtl w:val="0"/>
        </w:rPr>
        <w:t xml:space="preserve">euro</w:t>
      </w:r>
      <w:r w:rsidR="00000000" w:rsidRPr="00000000" w:rsidDel="00000000">
        <w:rPr>
          <w:rtl w:val="0"/>
        </w:rPr>
        <w:t xml:space="preserve"> uz 3 300 000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5. punktu par projekta konsolidētā apraksta (kopsavilkuma)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veikti šādi būtiskākie grozījumi projekta aprakstā (kopsavilkumā):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Iekļauta jauna darbība “izstrādāt darbu sadales konfigurāciju pakalpojumu apstrādei nepieciešamajiem dokumentiem”, lai realizētu Ziņojumā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Iekļauts jauns rezultāta rādītājs “Vidējais pakalpojumu apstrādes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iznākuma rādītāja “Pilnveidoti un attīstīti darbības procesi” vērtība no “7” uz vērtību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iznākuma rādītāja “Uzlaboti e-pakalpojumi” vērtība no “12” uz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iznākuma rādītāja “Īstenoti publicitātes pasākumi par projekta norisi” vērtība no “3” uz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Iekļauts jauns iznākuma rādītājs “Pakalpojumi, kuriem nodrošināta automatizēta darbu sadale” ar vērtību “23” atbilstoši Ziņojumā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projekta finansējums no 2 500 000 </w:t>
      </w:r>
      <w:r w:rsidR="00000000" w:rsidRPr="00000000" w:rsidDel="00000000">
        <w:rPr>
          <w:i w:val="1"/>
          <w:rtl w:val="0"/>
        </w:rPr>
        <w:t xml:space="preserve">euro</w:t>
      </w:r>
      <w:r w:rsidR="00000000" w:rsidRPr="00000000" w:rsidDel="00000000">
        <w:rPr>
          <w:rtl w:val="0"/>
        </w:rPr>
        <w:t xml:space="preserve"> uz 3 300 000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projekta īstenošanas termiņš atbilstoši Ziņojumā noteiktajam pagarinājumam līdz 2023. gada 15.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konsolidētājā aprakstā (kopsavilkumā) saīsināta informācija par projekta sociālekonomisko lietderīgumu, norādot apkopojošo informāciju, precizējot atbilstoši aktuālajiem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Iekļauta informācija par papildu procesiem, kas projekta ietvaros pilnveidojami.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informācija par VSAA atvērto datu kopām, tajā skaitā - publicēšanas www.data.gov.lv tehnisko risinājumu un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informācija par projekta darbību, laika plānu un izmaksām atbilstoši projekta finansējumam un īstenošanas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projekta apraksts (kopsavilkums) saskaņots ar VARAM 2022. gada 31. oktobrī (VARAM 2022. gada 31. oktobra vēstule Nr. 11-2/7439 "Par precizējumiem projekta “Publisko pakalpojumu daudzkanālu piegādes tehnoloģisko risinājumu izveide Valsts sociālās apdrošināšanas aģentūras pakalpojumu nodrošināšanai" detalizētajā aprakstā”).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izmaksu un ieguvumu analīze. Rīkojuma projekta ietekme atspoguļota projekta konsolidētā apraksta (kopsavilkuma) sadaļā “Saistība ar iepriekšējā plānošanas perioda projektiem, projekta lietderība un ieguldījums specifiskā atbalsta mērķa (SAM) rezultāta rādītājos".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kuri izmanto VSAA sniegtos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VSAA nodrošina 62 pakalpojumus (no tiem 36 - naudas maksājumi pensiju, pabalstu, atlīdzību un kompensāciju veidā, pārējie – informatīva rakstura pakalpojumi). 35 VSAA klientu apkalpošanas centri nodrošina klientu apkalpošanu klātienē un 78 VPVKAC, kuros arī ir iespējas pieprasīt atsevišķus VSAA pakalpojumus. VSAA piedāvā iedzīvotājiem 13 elektroniskos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vērsts uz publisko pakalpojumu pieejamības uzlabošanu, tai skaitā pilnveidojot e-pakalpojumus, paplašinot VPVKAC pieprasāmo VSAA pakalpojumu grozu un uzlabojot iedzīvotāju informētību un izpratni par savām tiesībām saņemt VSAA pakalpojumus. Projekta rezultātā uzlabosies arī VSAA pakalpojumu izpildes efektivitāte un kvalitāte, mazināsies administratīvais slogs klientiem un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Ekonomiski VSAA pakalpojumu pieejamības uzlabošana un darbības efektivitātes celšana ir virzīta gan uz izdevumu samazinājumu  VSAA klientiem, gan uz valsts budžeta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VSAA pakalpojumu izpildes efektivitāti un kvalitāti, veidojas finanšu ieguvums - VSAA uzturēšanas izmaksu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VSAA pakalpojumu pieejamību un sabiedrības informētību un uzticēšanos sociālās apdrošināšanas sistēmai, veidojas šādi ekonomiskie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samazinājums VSAA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nākotnē sniegto pakalpojumu skaita pieaugums vai nesaņemtā pakalpojuma saņemšanas nodrošināšana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iekšzemes kopprodukta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samazinājums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radīsies būtiski sociālekonomiskie ieguvumi VSAA klientiem un administratīvo resursu samazinājums jeb tiešie ietaupījumi VSAA.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nemonetārie ieguvumi pēc projekta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VSAA pakalpojumu izpildes organizēšanu pēc pakalpojumu apstrādes specializācijas principa un VSAA pakalpojumu dalījumu pakalpojumu kopās, VSAA nodarbināto teritoriālais izvietojums netiek mainīts, saglabājot esošās darba vietas un veicot personāla pārprofilēšanu;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minimizējot vai atsakoties no papīra formā noformēto dokumentu plūsmas un elektronizējot pakalpojumu nodrošināšanai nepieciešamo dokumentu apriti, novēršami personas datu drošības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uzlabojot informācijas pieejamību un izpratni iedzīvotājiem par VSAA pakalpojumiem un viņu tiesībām saņemt šos pakalpojumus, uzlabosies arī sociālās apdrošināšanas sistēmas dalībnieku uzticēšanās sistēmai un motivācija tajā piedalīties, t.sk., veidojot pensiju uzkrājumu;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paplašinot e-iesniegumu klāstu un VPVKAC pieprasāmo VSAA pakalpojumu grozu, tiks uzlabots klientu apmierinātības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projektā dažādus grozījumus (būtiskākie ir finansējuma palielinājums, jaunas darbības, īstenošana termiņa pagarinājums), līdz ar to VSAA kā finansējuma saņēmējam jāsagatavo un jāiesniedz CFLA kā sadarbības iestādei attiecīgus grozījumus projekta iesniegumā, lai varētu tikt sagatavoti Vienošanās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824 684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824 684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692 118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970 216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814 257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970 216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814 257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-145 532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palielināt valsts pamatbudžeta programmas 62.00.00 “Eiropas Reģionālās attīstības fonda (ERAF) projektu un pasākumu īstenošana” LM apakšprogrammas 62.07.00 “Eiropas Reģionālās attīstības fonda (ERAF) īstenotie projekti labklājības nozarē (2014-2020)” ietvaros īstenotā projekta (Nr. 2.2.1.1/19/I/007) pieejamo kopējo finansējumu par 800 000 </w:t>
            </w:r>
            <w:r w:rsidR="00000000" w:rsidRPr="00000000" w:rsidDel="00000000">
              <w:rPr>
                <w:sz w:val="24"/>
                <w:i w:val="1"/>
                <w:rtl w:val="0"/>
              </w:rPr>
              <w:t xml:space="preserve">euro</w:t>
            </w:r>
            <w:r w:rsidR="00000000" w:rsidRPr="00000000" w:rsidDel="00000000">
              <w:rPr>
                <w:sz w:val="24"/>
                <w:rtl w:val="0"/>
              </w:rPr>
              <w:t xml:space="preserve">, līdz ar to pēc rīkojuma projekta spēkā stāšanās dienas projektam pieejamais kopējais finansējums būs 3 300 000</w:t>
            </w:r>
            <w:r w:rsidR="00000000" w:rsidRPr="00000000" w:rsidDel="00000000">
              <w:rPr>
                <w:sz w:val="24"/>
                <w:i w:val="1"/>
                <w:rtl w:val="0"/>
              </w:rPr>
              <w:t xml:space="preserve"> euro</w:t>
            </w:r>
            <w:r w:rsidR="00000000" w:rsidRPr="00000000" w:rsidDel="00000000">
              <w:rPr>
                <w:sz w:val="24"/>
                <w:rtl w:val="0"/>
              </w:rPr>
              <w:t xml:space="preserve">, t.sk. ERAF finansējums – 2 805 000 </w:t>
            </w:r>
            <w:r w:rsidR="00000000" w:rsidRPr="00000000" w:rsidDel="00000000">
              <w:rPr>
                <w:sz w:val="24"/>
                <w:i w:val="1"/>
                <w:rtl w:val="0"/>
              </w:rPr>
              <w:t xml:space="preserve">euro</w:t>
            </w:r>
            <w:r w:rsidR="00000000" w:rsidRPr="00000000" w:rsidDel="00000000">
              <w:rPr>
                <w:sz w:val="24"/>
                <w:rtl w:val="0"/>
              </w:rPr>
              <w:t xml:space="preserve"> un valsts budžeta finansējums – 495 000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 gadā kopējais faktiskais investētais finansējums (atbilstoši Valsts kases izdrukai) 340 106 </w:t>
            </w:r>
            <w:r w:rsidR="00000000" w:rsidRPr="00000000" w:rsidDel="00000000">
              <w:rPr>
                <w:sz w:val="24"/>
                <w:i w:val="1"/>
                <w:rtl w:val="0"/>
              </w:rPr>
              <w:t xml:space="preserve">euro</w:t>
            </w:r>
            <w:r w:rsidR="00000000" w:rsidRPr="00000000" w:rsidDel="00000000">
              <w:rPr>
                <w:sz w:val="24"/>
                <w:rtl w:val="0"/>
              </w:rPr>
              <w:t xml:space="preserve">, t.sk. ERAF finansējums 289 090 </w:t>
            </w:r>
            <w:r w:rsidR="00000000" w:rsidRPr="00000000" w:rsidDel="00000000">
              <w:rPr>
                <w:sz w:val="24"/>
                <w:i w:val="1"/>
                <w:rtl w:val="0"/>
              </w:rPr>
              <w:t xml:space="preserve">euro</w:t>
            </w:r>
            <w:r w:rsidR="00000000" w:rsidRPr="00000000" w:rsidDel="00000000">
              <w:rPr>
                <w:sz w:val="24"/>
                <w:rtl w:val="0"/>
              </w:rPr>
              <w:t xml:space="preserve"> un valsts budžeta finansējums 51 016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gadā kopējais faktiskais investētais finansējums (atbilstoši Valsts kases izdrukai) 1 171 574 </w:t>
            </w:r>
            <w:r w:rsidR="00000000" w:rsidRPr="00000000" w:rsidDel="00000000">
              <w:rPr>
                <w:sz w:val="24"/>
                <w:i w:val="1"/>
                <w:rtl w:val="0"/>
              </w:rPr>
              <w:t xml:space="preserve">euro</w:t>
            </w:r>
            <w:r w:rsidR="00000000" w:rsidRPr="00000000" w:rsidDel="00000000">
              <w:rPr>
                <w:sz w:val="24"/>
                <w:rtl w:val="0"/>
              </w:rPr>
              <w:t xml:space="preserve"> apmērā, t.sk. ERAF finansējums 995 838 </w:t>
            </w:r>
            <w:r w:rsidR="00000000" w:rsidRPr="00000000" w:rsidDel="00000000">
              <w:rPr>
                <w:sz w:val="24"/>
                <w:i w:val="1"/>
                <w:rtl w:val="0"/>
              </w:rPr>
              <w:t xml:space="preserve">euro</w:t>
            </w:r>
            <w:r w:rsidR="00000000" w:rsidRPr="00000000" w:rsidDel="00000000">
              <w:rPr>
                <w:sz w:val="24"/>
                <w:rtl w:val="0"/>
              </w:rPr>
              <w:t xml:space="preserve"> un valsts budžeta finansējums 175 736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saskaņā ar likumu „Par valsts budžetu 2022. gadam” un saskaņā ar likumu “Par vidēja termiņa budžeta ietvaru 2022., 2023. un 2024. gadam” projektam apstiprināts finansējums 1 045 819 </w:t>
            </w:r>
            <w:r w:rsidR="00000000" w:rsidRPr="00000000" w:rsidDel="00000000">
              <w:rPr>
                <w:sz w:val="24"/>
                <w:i w:val="1"/>
                <w:rtl w:val="0"/>
              </w:rPr>
              <w:t xml:space="preserve">euro</w:t>
            </w:r>
            <w:r w:rsidR="00000000" w:rsidRPr="00000000" w:rsidDel="00000000">
              <w:rPr>
                <w:sz w:val="24"/>
                <w:rtl w:val="0"/>
              </w:rPr>
              <w:t xml:space="preserve"> apmērā, t.sk. ERAF finansējums 888 946 </w:t>
            </w:r>
            <w:r w:rsidR="00000000" w:rsidRPr="00000000" w:rsidDel="00000000">
              <w:rPr>
                <w:sz w:val="24"/>
                <w:i w:val="1"/>
                <w:rtl w:val="0"/>
              </w:rPr>
              <w:t xml:space="preserve">euro</w:t>
            </w:r>
            <w:r w:rsidR="00000000" w:rsidRPr="00000000" w:rsidDel="00000000">
              <w:rPr>
                <w:sz w:val="24"/>
                <w:rtl w:val="0"/>
              </w:rPr>
              <w:t xml:space="preserve"> un valsts budžeta finansējums 156 873 </w:t>
            </w:r>
            <w:r w:rsidR="00000000" w:rsidRPr="00000000" w:rsidDel="00000000">
              <w:rPr>
                <w:sz w:val="24"/>
                <w:i w:val="1"/>
                <w:rtl w:val="0"/>
              </w:rPr>
              <w:t xml:space="preserve">euro</w:t>
            </w:r>
            <w:r w:rsidR="00000000" w:rsidRPr="00000000" w:rsidDel="00000000">
              <w:rPr>
                <w:sz w:val="24"/>
                <w:rtl w:val="0"/>
              </w:rPr>
              <w:t xml:space="preserve">. Savukārt, atbilstoši MK noteikumiem Nr. 421 “Kārtība, kādā veic gadskārtējā valsts budžeta likumā noteiktās apropriācijas izmaiņas” izvērtējot nozarē piešķirtā finansējuma Eiropas Savienības fondu īstenošanai līdzekļu izlietojumu, 2022. gada maijā veikta valsts budžeta līdzekļu iekšējā pārdale programmā 62.00.00 “Eiropas Reģionālās attīstības fonda (ERAF) projektu un pasākumu īstenošana” apakšprogrammā 62.07.00 „Eiropas Reģionālās attīstības fonda (ERAF) īstenotie projekti labklājības nozarē (2014-2020)” starp projektiem, samazinot projektam plānoto finansējumu par 75 603 </w:t>
            </w:r>
            <w:r w:rsidR="00000000" w:rsidRPr="00000000" w:rsidDel="00000000">
              <w:rPr>
                <w:sz w:val="24"/>
                <w:i w:val="1"/>
                <w:rtl w:val="0"/>
              </w:rPr>
              <w:t xml:space="preserve">euro</w:t>
            </w:r>
            <w:r w:rsidR="00000000" w:rsidRPr="00000000" w:rsidDel="00000000">
              <w:rPr>
                <w:sz w:val="24"/>
                <w:rtl w:val="0"/>
              </w:rPr>
              <w:t xml:space="preserve">, t.sk. ERAF finansējums 64 262 </w:t>
            </w:r>
            <w:r w:rsidR="00000000" w:rsidRPr="00000000" w:rsidDel="00000000">
              <w:rPr>
                <w:sz w:val="24"/>
                <w:i w:val="1"/>
                <w:rtl w:val="0"/>
              </w:rPr>
              <w:t xml:space="preserve">euro</w:t>
            </w:r>
            <w:r w:rsidR="00000000" w:rsidRPr="00000000" w:rsidDel="00000000">
              <w:rPr>
                <w:sz w:val="24"/>
                <w:rtl w:val="0"/>
              </w:rPr>
              <w:t xml:space="preserve"> un valsts budžeta finansējums 11 341 </w:t>
            </w:r>
            <w:r w:rsidR="00000000" w:rsidRPr="00000000" w:rsidDel="00000000">
              <w:rPr>
                <w:sz w:val="24"/>
                <w:i w:val="1"/>
                <w:rtl w:val="0"/>
              </w:rPr>
              <w:t xml:space="preserve">euro</w:t>
            </w:r>
            <w:r w:rsidR="00000000" w:rsidRPr="00000000" w:rsidDel="00000000">
              <w:rPr>
                <w:sz w:val="24"/>
                <w:rtl w:val="0"/>
              </w:rPr>
              <w:t xml:space="preserve">. Līdz ar to projektam pieejamais finansējums 2022. gadā veido 970 216 </w:t>
            </w:r>
            <w:r w:rsidR="00000000" w:rsidRPr="00000000" w:rsidDel="00000000">
              <w:rPr>
                <w:sz w:val="24"/>
                <w:i w:val="1"/>
                <w:rtl w:val="0"/>
              </w:rPr>
              <w:t xml:space="preserve">euro</w:t>
            </w:r>
            <w:r w:rsidR="00000000" w:rsidRPr="00000000" w:rsidDel="00000000">
              <w:rPr>
                <w:sz w:val="24"/>
                <w:rtl w:val="0"/>
              </w:rPr>
              <w:t xml:space="preserve"> apmērā, t.sk. ERAF finansējums 824 684 </w:t>
            </w:r>
            <w:r w:rsidR="00000000" w:rsidRPr="00000000" w:rsidDel="00000000">
              <w:rPr>
                <w:sz w:val="24"/>
                <w:i w:val="1"/>
                <w:rtl w:val="0"/>
              </w:rPr>
              <w:t xml:space="preserve">euro</w:t>
            </w:r>
            <w:r w:rsidR="00000000" w:rsidRPr="00000000" w:rsidDel="00000000">
              <w:rPr>
                <w:sz w:val="24"/>
                <w:rtl w:val="0"/>
              </w:rPr>
              <w:t xml:space="preserve"> un valsts budžeta finansējums 145 532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šobrīd projektam apstiprināto kopējo finansējumu, kas noteikts 2 500 000 </w:t>
            </w:r>
            <w:r w:rsidR="00000000" w:rsidRPr="00000000" w:rsidDel="00000000">
              <w:rPr>
                <w:sz w:val="24"/>
                <w:i w:val="1"/>
                <w:rtl w:val="0"/>
              </w:rPr>
              <w:t xml:space="preserve">euro</w:t>
            </w:r>
            <w:r w:rsidR="00000000" w:rsidRPr="00000000" w:rsidDel="00000000">
              <w:rPr>
                <w:sz w:val="24"/>
                <w:rtl w:val="0"/>
              </w:rPr>
              <w:t xml:space="preserve"> apmērā, t.sk. ERAF finansējums 2 125 000 </w:t>
            </w:r>
            <w:r w:rsidR="00000000" w:rsidRPr="00000000" w:rsidDel="00000000">
              <w:rPr>
                <w:sz w:val="24"/>
                <w:i w:val="1"/>
                <w:rtl w:val="0"/>
              </w:rPr>
              <w:t xml:space="preserve">euro</w:t>
            </w:r>
            <w:r w:rsidR="00000000" w:rsidRPr="00000000" w:rsidDel="00000000">
              <w:rPr>
                <w:sz w:val="24"/>
                <w:rtl w:val="0"/>
              </w:rPr>
              <w:t xml:space="preserve"> un valsts budžeta finansējums 375 000 </w:t>
            </w:r>
            <w:r w:rsidR="00000000" w:rsidRPr="00000000" w:rsidDel="00000000">
              <w:rPr>
                <w:sz w:val="24"/>
                <w:i w:val="1"/>
                <w:rtl w:val="0"/>
              </w:rPr>
              <w:t xml:space="preserve">euro</w:t>
            </w:r>
            <w:r w:rsidR="00000000" w:rsidRPr="00000000" w:rsidDel="00000000">
              <w:rPr>
                <w:sz w:val="24"/>
                <w:rtl w:val="0"/>
              </w:rPr>
              <w:t xml:space="preserve">, budžetā nav iestrādāts finansējums 14 257 </w:t>
            </w:r>
            <w:r w:rsidR="00000000" w:rsidRPr="00000000" w:rsidDel="00000000">
              <w:rPr>
                <w:sz w:val="24"/>
                <w:i w:val="1"/>
                <w:rtl w:val="0"/>
              </w:rPr>
              <w:t xml:space="preserve">euro</w:t>
            </w:r>
            <w:r w:rsidR="00000000" w:rsidRPr="00000000" w:rsidDel="00000000">
              <w:rPr>
                <w:sz w:val="24"/>
                <w:rtl w:val="0"/>
              </w:rPr>
              <w:t xml:space="preserve"> apmērā, t.sk. ERAF finansējums 12 118 </w:t>
            </w:r>
            <w:r w:rsidR="00000000" w:rsidRPr="00000000" w:rsidDel="00000000">
              <w:rPr>
                <w:sz w:val="24"/>
                <w:i w:val="1"/>
                <w:rtl w:val="0"/>
              </w:rPr>
              <w:t xml:space="preserve">euro</w:t>
            </w:r>
            <w:r w:rsidR="00000000" w:rsidRPr="00000000" w:rsidDel="00000000">
              <w:rPr>
                <w:sz w:val="24"/>
                <w:rtl w:val="0"/>
              </w:rPr>
              <w:t xml:space="preserve"> un valsts budžeta finansējums 2 139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projektā plānoto aktivitāšu prognozētajam grafikam, 2022. gada budžetā neiestrādātais finansējums būs nepieciešams 2023. gadā, līdz ar to, pēc rīkojuma projekta spēkā stāšanās, palielinot projektam pieejamo kopējo finansējumu par 800 000 </w:t>
            </w:r>
            <w:r w:rsidR="00000000" w:rsidRPr="00000000" w:rsidDel="00000000">
              <w:rPr>
                <w:sz w:val="24"/>
                <w:i w:val="1"/>
                <w:rtl w:val="0"/>
              </w:rPr>
              <w:t xml:space="preserve">euro</w:t>
            </w:r>
            <w:r w:rsidR="00000000" w:rsidRPr="00000000" w:rsidDel="00000000">
              <w:rPr>
                <w:sz w:val="24"/>
                <w:rtl w:val="0"/>
              </w:rPr>
              <w:t xml:space="preserve">, t.sk. ERAF finansējums 680 000 </w:t>
            </w:r>
            <w:r w:rsidR="00000000" w:rsidRPr="00000000" w:rsidDel="00000000">
              <w:rPr>
                <w:sz w:val="24"/>
                <w:i w:val="1"/>
                <w:rtl w:val="0"/>
              </w:rPr>
              <w:t xml:space="preserve">euro</w:t>
            </w:r>
            <w:r w:rsidR="00000000" w:rsidRPr="00000000" w:rsidDel="00000000">
              <w:rPr>
                <w:sz w:val="24"/>
                <w:rtl w:val="0"/>
              </w:rPr>
              <w:t xml:space="preserve"> un valsts budžeta finansējums 120 000 </w:t>
            </w:r>
            <w:r w:rsidR="00000000" w:rsidRPr="00000000" w:rsidDel="00000000">
              <w:rPr>
                <w:sz w:val="24"/>
                <w:i w:val="1"/>
                <w:rtl w:val="0"/>
              </w:rPr>
              <w:t xml:space="preserve">euro</w:t>
            </w:r>
            <w:r w:rsidR="00000000" w:rsidRPr="00000000" w:rsidDel="00000000">
              <w:rPr>
                <w:sz w:val="24"/>
                <w:rtl w:val="0"/>
              </w:rPr>
              <w:t xml:space="preserve">, projektam pieejamais kopējais finansējums 2023. gadam plānots indikatīvi 818 104 </w:t>
            </w:r>
            <w:r w:rsidR="00000000" w:rsidRPr="00000000" w:rsidDel="00000000">
              <w:rPr>
                <w:sz w:val="24"/>
                <w:i w:val="1"/>
                <w:rtl w:val="0"/>
              </w:rPr>
              <w:t xml:space="preserve">euro</w:t>
            </w:r>
            <w:r w:rsidR="00000000" w:rsidRPr="00000000" w:rsidDel="00000000">
              <w:rPr>
                <w:sz w:val="24"/>
                <w:rtl w:val="0"/>
              </w:rPr>
              <w:t xml:space="preserve"> apmērā, t.sk. ERAF finansējums 695 388 </w:t>
            </w:r>
            <w:r w:rsidR="00000000" w:rsidRPr="00000000" w:rsidDel="00000000">
              <w:rPr>
                <w:sz w:val="24"/>
                <w:i w:val="1"/>
                <w:rtl w:val="0"/>
              </w:rPr>
              <w:t xml:space="preserve">euro</w:t>
            </w:r>
            <w:r w:rsidR="00000000" w:rsidRPr="00000000" w:rsidDel="00000000">
              <w:rPr>
                <w:sz w:val="24"/>
                <w:rtl w:val="0"/>
              </w:rPr>
              <w:t xml:space="preserve"> un valsts budžeta finansējums 122 716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īstenošanai 2023. gadam papildu nepieciešamo finansējumu LM normatīvajos aktos noteiktajā kārtībā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Kopējie projekta sociālekonomiskie un citi projekta ieguvumi sastāda 19,6 milj. </w:t>
            </w:r>
            <w:r w:rsidR="00000000" w:rsidRPr="00000000" w:rsidDel="00000000">
              <w:rPr>
                <w:sz w:val="24"/>
                <w:i w:val="1"/>
                <w:rtl w:val="0"/>
              </w:rPr>
              <w:t xml:space="preserve">euro</w:t>
            </w:r>
            <w:r w:rsidR="00000000" w:rsidRPr="00000000" w:rsidDel="00000000">
              <w:rPr>
                <w:sz w:val="24"/>
                <w:rtl w:val="0"/>
              </w:rPr>
              <w:t xml:space="preserve"> visā projekta dzīves cikla laikā,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sociālekonomiskie ieguvumi sastāda 16,44 milj. </w:t>
            </w:r>
            <w:r w:rsidR="00000000" w:rsidRPr="00000000" w:rsidDel="00000000">
              <w:rPr>
                <w:sz w:val="24"/>
                <w:i w:val="1"/>
                <w:rtl w:val="0"/>
              </w:rPr>
              <w:t xml:space="preserve">euro</w:t>
            </w:r>
            <w:r w:rsidR="00000000" w:rsidRPr="00000000" w:rsidDel="00000000">
              <w:rPr>
                <w:sz w:val="24"/>
                <w:rtl w:val="0"/>
              </w:rPr>
              <w:t xml:space="preserve"> visā projekta dzīves cikla laikā jeb vidēji 1,26 milj.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tiešie ietaupījumi sastāda 3,2 milj. </w:t>
            </w:r>
            <w:r w:rsidR="00000000" w:rsidRPr="00000000" w:rsidDel="00000000">
              <w:rPr>
                <w:sz w:val="24"/>
                <w:i w:val="1"/>
                <w:rtl w:val="0"/>
              </w:rPr>
              <w:t xml:space="preserve">euro</w:t>
            </w:r>
            <w:r w:rsidR="00000000" w:rsidRPr="00000000" w:rsidDel="00000000">
              <w:rPr>
                <w:sz w:val="24"/>
                <w:rtl w:val="0"/>
              </w:rPr>
              <w:t xml:space="preserve"> visā projekta dzīves cikla laikā jeb vidēji 0,03 milj.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rezultātā sasniegtie tiešie ietaupījumi tiks novirzīti projekta rezultātā radīto risinājumu uzturēšanai, un papildus uzturēšanas izmaksas nav nepieciešamas. Ņemot vērā, ka visi risinājumi vēlāk pamatā maināmi, mainoties normatīvajam regulējumam, izmaiņu realizācijai nepieciešamais finansējums tiks pieprasīts, vērtējot konkrēto normatīvo aktu ietekmi uz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projekts attiecas uz valsts pārvaldes iestāžu (labklājības nozares) iekšējo informācijas un komunikācijas tehnoloģiju centralizāciju un attīstīšanu, tad sabiedrības 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realizācijas VSAA kļūs par klientiem vēl atvērtāku un pieejamāku valsts pakalpojumu sniedzēju, kas rūpējas, lai klientiem ērtā veidā būtu pieejami kvalitatīvi pakalpojumi, lai klienti būtu informēti par savām tiesībām un iespējām pieprasīt un saņemt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Attīstot pakalpojumu elektronizāciju, iedzīvotājiem vecuma grupā no 15 gadu vecuma līdz mūža beigām, kuri ir potenciālie VSAA pakalpojumu izmantotāji, tiks mazināts administratīvais slogs VSAA pakalpojumu pieprasīšanai un informācijas iegūšanai par savām tiesībām, kā rezultātā uzlabosies iedzīvotāju apmierinātība ar pakalpojumu pieejamību. Palielinoties e- pakalpojumu izmantošanas gadījumu skaitam, mazināsies VSAA darbinieku noslodze pakalpojumu sniegšanai nepieciešamo datu un papīra formā noformēto dokumentu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Pielāgojot esošo pamatdarbības atbalsta informācijas sistēmu SAIS darbam pēc specializācijas principa un procesos vairāk izmantojot automatizētas kontroles, VSAA darbinieku, kas ir šīs sistēmas lietotāji, produktivitāte pieaugs, kas dos iespēju efektīvāk izmantot VSAA personāla resursus un samazināt ar pakalpojumu izpildi saistīto laiku un izmaksas. Darbinieku ieguvums būs iespēja uzlabot sava darba kvalitāti un neveikt vērtību nepievienojošas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Modernizējot informācijas apmaiņas ar VID risinājumus, būs iespējams nodrošināt datu bāzes kvalitātes uzlabošanu, tādējādi mazinot vērtību nepievienojošas darbības nekvalitatīvu datu kļūdu radīto seku novēršanai. Ieguvēji būs gan iedzīvotāji - VSAA pakalpojumu lietotāji, gan VSAA un VID darbinieki, kuriem samazināsies risināmo incidentu 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tiks uzlabots pakalpojumu sniegšanas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vērsts uz publisko pakalpojumu pieejamības uzlabošanu, tai skaitā pilnveidojot e-pakalpojumus, paplašinot VPVKAC pieprasāmo VSAA pakalpojumu grozu un uzlabojot iedzīvotāju informētību un izpratni par savām tiesībām saņemt VSAA pakalpojumus. Projekta rezultātā tiks uzlabota arī VSAA pakalpojumu izpildes efektivitāte un kvalitāte, tiks mazināts administratīvais slogs klientiem un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pilnveidot šādus VSAA pamatdarbības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 datu arhivēšana”;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pieprasījumu sadale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apstrādes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„Klientu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„Apdrošinātās personas konta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pieprasīšana”.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22-TA-2594</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22-TA-2594</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anotācija_(ex_ante)_22-TA-2594.docx</dc:title>
</cp:coreProperties>
</file>

<file path=docProps/custom.xml><?xml version="1.0" encoding="utf-8"?>
<Properties xmlns="http://schemas.openxmlformats.org/officeDocument/2006/custom-properties" xmlns:vt="http://schemas.openxmlformats.org/officeDocument/2006/docPropsVTypes"/>
</file>