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6. oktobra noteikumos Nr. 1151 "Noteikumi par radiofrekvenču spektra joslu sadalījumu radiosakaru veidiem un iedalījumu radiosakaru sistēmām, kā arī par radiofrekvenču spektra joslu izmantošanas vispārīgajiem nosacījumiem (Nacionālais radiofrekvenču plāns)""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radiofrekvenču plānā tiek noteikta radiosakaru sistēma "Neģeostacionāro satelītu orbītu Zemes stacijas", kas Latvijā ļaus lietot šīs Fiksētā satelītu dienesta stacijas.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radiofrekvenču plānā līdz ar Eiropas Elektronisko sakaru komitejas (ECC) lēmuma pārņemšanu tiek noteikta radiosakaru sistēma "Neģeostacionāro satelītu orbītu Zemes stacijas", kas Latvijā ļaus lietot šīs Fiksētā satelītu dienesta stacijas radiofrekvenču joslās 10,7–12,75 GHz un 14,0–14,50 GHz.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radiosakaru sistēmas "Neģeostacionāro satelītu orbītu Zemes stacijas" lietošanu nepieciešamā radiofrekvenču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Radiosakaru sistēmas "Neģeostacionāro satelītu orbītu Zemes stacijas" Fiksētā satelītu dienesta stacijas noteikšana radiofrekvenču joslās 10,7–12,75 GHz un 14,0–14,50 GHz, radiofrekvenču spektra lietošanas tiesību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1.pielikums un 3.pielikums tiek papildināts ar tehniskajām prasībām, lai lietotu Fiksētā satelītu dienesta stacijas radiofrekvenču joslās 10,7–12,75 GHz un 14,0–14,50 GHz radiosakaru sistēma "Neģeostacionāro satelītu orbītu Zemes stacijas"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ieviests Eiropas Elektronisko sakaru komitejas (ECC) 2017.gada 30.jūnija lēmums ECC/DEC/(17)04 (2021. gada 5. novembra redakcijā) par fiksēto Zemes staciju, kuras darbojas NGSO FSS satelītu sistēmās radiofrekvenču joslās 10,7–12,75 GHz un 14,0–14,50 GHz, saskaņotu lietošanu un atbrīvošanu no individuālajām atļaujām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22-TA-821</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22-TA-821</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anotācija_(ex_ante)_22-TA-821.docx</dc:title>
</cp:coreProperties>
</file>

<file path=docProps/custom.xml><?xml version="1.0" encoding="utf-8"?>
<Properties xmlns="http://schemas.openxmlformats.org/officeDocument/2006/custom-properties" xmlns:vt="http://schemas.openxmlformats.org/officeDocument/2006/docPropsVTypes"/>
</file>