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ziedojumu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24. februāra notiek plaša mēroga Krievijas militāra agresija pret Ukrainu. Demokrātiskās Rietumu valstis un starptautiskās organizācijas, ieskaitot Eiropas Savienības un Ziemeļatlantijas Līguma organizāciju (NATO), ir vienotas savā nostājā pret Krievijas agresiju un imperiālismu, kā arī atbalsta sniegšanā Ukrainai. Eiropas Savienības līderi ir vienojušies par atbalstu Ukrainai tās cīņā pret agresoru, tādēļ Eiropas Savienība kopā ar partneriem atbalsta Ukrainu un tās iedzīvotājus ar plašu palīdzību, sniedzot papildu politisku un finansiālu atbalstu, humāno palīdzību, kā arī militārā ekipējuma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7.punkts paredz: "Turpināsim visaptverošu atbalstu Ukrainai, īstenosim pasākumus Krievijas vājināšanai un izolācijai, stiprināsim Eiropas Savienības un nacionālās sankcijas, tai skaitā nemīkstinot ierobežojumus pašlaik jau sankcionētajām personām. " Tā ietvaros Valdības rīcības plāna projektā ir iekļauts pasākums "Nodrošināt AS "Latvenergo" TEC-2 nokalpojušā bloka ziedojuma īstenošanu Ukrainai.". Šī pasākuma darbības rezultāts paredz, ka "Ministru kabinetā pieņemts rīkojums par atļauju veikt ziedojumu un ar to saistīto tālāko lēmumu pieņemšana un īstenošana." Par minētā pasākuma izpildi atbildīga ir 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militārās agresijas rezultātā Ukrainas enerģētikas infrastruktūra ir cietusi būtiskus bojājumus, tostarp ir iznīcinātas vai bojātas elektroenerģijas un siltumenerģijas ražošanas jaudas. Lai sniegtu atbalstu Ukrainas energosistēmas darbības nepārtrauktības nodrošināšanai un enerģētikas infrastruktūras atjaunošanai, akciju sabiedrība"Latvenergo" ir izvērtējusi iespēju ziedot Ukrainas energoapgādes komersantam TEC-2 vecās ražotnes iekārtas un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nepieciešamība pēc energosistēmas stiprināšanas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Krievijas pilna mēroga militārās agresijas pret Ukrainu sākuma 2022. gadā akciju sabiedrība "Latvenergo" (turpmāk – AS "Latvenergo") regulāri sniegusi atbalstu Ukrainai. Laikposmā no 2022. līdz 2026. gadam AS "Latvenergo" ir ziedojusi transformatorus, transformatoru eļļu, saules paneļus, datoru monitorus, transportlīdzekļus, kā arī nodrošinājusi Ukrainas bērnu vasaras nometņu organizēšanu Latvijā un sniegusi cita veida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TEC-2 vecās ražotnes turboagregāti un tvaika katli tika nodoti ekspluatācijā laikposmā no 1974. līdz 1979. gadam. Ražotnes projektētā elektroenerģijas ražošanas jauda bija 390 MW, bet siltumenerģijas ražošanas jauda – 812 MW. TEC-2 vecās ražotnes iekārtu ekspluatācija tika pakāpeniski izbeigta laikposmā no 2006. līdz 2013.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TEC-2 vecās ražotnes iekārtas netiek ekspluatētas, jo tās ir aizstātas ar jaunās TEC-2 ražotnes iekārtām. Minētās iekārtas ir norakstītas, un to vērtība kā AS "Latvenergo" ekspluatācijai nederīgām iekārtām atbilst metāllūžņu vērtībai. Līdz ar to AS "Latvenergo" TEC-2 vecās ražotnes iekārtu atsavināšana nav pakļauta Enerģētikas likuma 20.</w:t>
      </w:r>
      <w:r w:rsidR="00000000" w:rsidRPr="00000000" w:rsidDel="00000000">
        <w:rPr>
          <w:vertAlign w:val="superscript"/>
          <w:rtl w:val="0"/>
        </w:rPr>
        <w:t xml:space="preserve">1</w:t>
      </w:r>
      <w:r w:rsidR="00000000" w:rsidRPr="00000000" w:rsidDel="00000000">
        <w:rPr>
          <w:rtl w:val="0"/>
        </w:rPr>
        <w:t xml:space="preserve"> pantā noteiktajam AS "Latvenergo" aktīvu atsavināšanas aizliegumam.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līdz šim apjomīgākais AS "Latvenergo" plānotais ieguldījums Ukrainas atbalstam (turpmāk – projekts Ukrainas atbalstam), kura īstenošanai nepieciešams Ministru kabineta rīkojums, tai skaitā par valsts budžeta finansējuma piešķiršanu saistīto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Ukrainas pārstāvju vizītes AS "Latvenergo" TEC-2 vecās ražotnes teritorijā 2026. gada februāra sākumā Ukrainas Enerģētikas ministrija 2026. gada 6. martā iesniedza Latvijai lūgumu nodot Ukrainas vajadzībām TEC-2 vecās ražotnes iekārtas, tostarp turbīnas, ģeneratorus, katlu sistēmas, sūkņus, balansēšanas iekārtas, elektrolīzes sistēmas un citas iekārtas. Savukārt 2026. gada 20. maijā Ukrainas Enerģētikas ministrija nosūtīja aktualizētu un precizētu Ukrainai nepieciešamo TEC-2 vecās ražotnes iekārtu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6. jūnijā rīkojumam Nr. 426 "Par valsts kapitālsabiedrību dāvinājumiem (ziedojumiem)" AS "Latvenergo" ir noteikta dāvinājumu kopsumma - 500 000 </w:t>
      </w:r>
      <w:r w:rsidR="00000000" w:rsidRPr="00000000" w:rsidDel="00000000">
        <w:rPr>
          <w:i w:val="1"/>
          <w:rtl w:val="0"/>
        </w:rPr>
        <w:t xml:space="preserve">euro</w:t>
      </w:r>
      <w:r w:rsidR="00000000" w:rsidRPr="00000000" w:rsidDel="00000000">
        <w:rPr>
          <w:rtl w:val="0"/>
        </w:rPr>
        <w:t xml:space="preserve">/gadā. Ukrainas civiliedzīvotāju atbalsta likuma 11.</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2</w:t>
      </w:r>
      <w:r w:rsidR="00000000" w:rsidRPr="00000000" w:rsidDel="00000000">
        <w:rPr>
          <w:rtl w:val="0"/>
        </w:rPr>
        <w:t xml:space="preserve"> daļa paredz iespēju ar Ministru kabineta lēmumu nepiemērot šo ierobežojumu gadījumos, kad kapitālsabiedrība ziedo kritiskās infrastruktūras elementus un iekārtas, lai nekavējoties sniegtu palīdzību Ukrainai.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izvērtējot TEC-2 vecās ražotnes iekārtu tehniskos datus un aprakstus, kā arī metālu saturošo daļu sastāvu, svaru un dažādu metālu īpatsvaru, aprēķināja to metāllūžņu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iekārtu jau ir demontēta. Attiecībā uz atlikušajām iekārtām ir panākta vienošanās ar Ukrainas pusi (t.sk. iepriekšējās augsta līmeņa tikšanās ietvaros ar Ukrainas Ministru prezidentu), ka Ukraina uzņemas atbildību par pilna finansējuma piesaisti demontāžas un transportēšanas pasākumu īstenošanai. Ukrainas Enerģētikas ministrijas tīmekļvietnē 2026. gada 16. jūnijā publicēta relīze par to, ka Vācijas Ārlietu ministrija ir paredzējusi finansējumu vairāk kā 1 miljonu</w:t>
      </w:r>
      <w:r w:rsidR="00000000" w:rsidRPr="00000000" w:rsidDel="00000000">
        <w:rPr>
          <w:i w:val="1"/>
          <w:rtl w:val="0"/>
        </w:rPr>
        <w:t xml:space="preserve"> euro</w:t>
      </w:r>
      <w:r w:rsidR="00000000" w:rsidRPr="00000000" w:rsidDel="00000000">
        <w:rPr>
          <w:rtl w:val="0"/>
        </w:rPr>
        <w:t xml:space="preserve"> šo iekārtu demontāžai un transportēšanai.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w:t>
      </w:r>
      <w:r w:rsidR="00000000" w:rsidRPr="00000000" w:rsidDel="00000000">
        <w:rPr>
          <w:vertAlign w:val="superscript"/>
          <w:rtl w:val="0"/>
        </w:rPr>
        <w:t xml:space="preserve">1</w:t>
      </w:r>
      <w:r w:rsidR="00000000" w:rsidRPr="00000000" w:rsidDel="00000000">
        <w:rPr>
          <w:rtl w:val="0"/>
        </w:rPr>
        <w:t xml:space="preserve"> pantā noteikts ziedojuma apmēra ierobežojums publiskas personas kapitālsabiedrībai, kurai atbilstoši Publiskas personas finanšu līdzekļi un mantas izšķērdēšanas novēršanas likuma 11. panta pirmajai daļai dāvināšanai (ziedošanai) drīkst atvēlēt ne vairāk par 1,5 % no iepriekšējā pārskata gada peļņas, izņemot, ja kapitālsabiedrība ziedo kritiskās infrastruktūras elementus un iekārtas, lai nekavējoties sniegtu palīdzību Ukrainai, un Ministru kabinets par to ir pieņēmis atbilstošu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palīdzību Ukrainas enerģētikas infrastruktūras atjaunošanai laikā, kad Krievija turpina sistemātiskus uzbrukumus Ukrainas energoinfrastruktūrai.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publiskošana par konkrētajām ziedojamajām iekārtām, to tehnisko raksturojumu, sagatavošanas gaitu, transportēšanas laikiem un maršrutiem var radīt papildu riskus projekta īstenošanai un palīdzības sniegšanai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Provizoriskais demontāžas darbu izpildes termiņš ir vismaz 6 mēneši no darbu uzsākšanas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"Latvenergo" ir atjaunojusi ekspluatācijā abus galvenos TEC-2 vecās ražotnes celtņus un turpina darbu pie pārējo celtņu atjaunošanas.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26-TA-1352</w:t>
    </w:r>
    <w:r>
      <w:br/>
    </w:r>
    <w:r w:rsidR="00000000" w:rsidRPr="00000000" w:rsidDel="00000000">
      <w:rPr>
        <w:rtl w:val="0"/>
      </w:rPr>
      <w:t xml:space="preserve">Izdrukāts 29.07.2026. 23.49 - 4.0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26-TA-1352</w:t>
    </w:r>
    <w:r>
      <w:br/>
    </w:r>
    <w:r w:rsidR="00000000" w:rsidRPr="00000000" w:rsidDel="00000000">
      <w:rPr>
        <w:rtl w:val="0"/>
      </w:rPr>
      <w:t xml:space="preserve">Izdrukāts 29.07.2026. 23.49 - 4.0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anotācija_(ex_ante)_26-TA-1352.docx</dc:title>
</cp:coreProperties>
</file>

<file path=docProps/custom.xml><?xml version="1.0" encoding="utf-8"?>
<Properties xmlns="http://schemas.openxmlformats.org/officeDocument/2006/custom-properties" xmlns:vt="http://schemas.openxmlformats.org/officeDocument/2006/docPropsVTypes"/>
</file>