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"Atbalsta programmas nosacījumi energoefektivitātes paaugstināšanas pasākumu īstenošanai daudzdzīvokļu dzīvojamās mājās"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“Eiropas Savienības kohēzijas politikas programmas 2021.–2027.gadam 2.1 prioritātes "Klimata pārmaiņu mazināšana un pielāgošanās klimata pārmaiņām" 2.1.1. specifiskā atbalsta mērķa "Energoefektivitātes veicināšana un siltumnīcefekta gāzu emisiju samazināšana" 2.1.1.1. pasākuma "Energoefektivitātes paaugstināšana dzīvojamās ēkās, t.sk. attīstot ESKO tirgu (daudzdzīvokļu, privātās un neliela dzīvokļu skaita ēku kompleksos)" īstenošanas noteikumi” (turpmāk – Noteikumu projekts) ietvaros tiks nodrošināts atbalsts energoefektivitātes pasākumu veikšanai daudzdzīvokļu dzīvojamās mājās. Atbalstu veido aizdevums vai garantija, kapitāla atlaide aizdevuma pamatsummas daļējai dzēšanai, un atbalsts tehniskās dokumentācijas sagatavošanai dzīvokļu īpašniekiem energoefektivitātes paaugstināšanas pasākumu īstenošanai un atjaunojamās enerģijas 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ieguldījumus daudzdzīvokļu dzīvojamo ēku sektorā, kas veicinās mājokļu jautājuma sakārtošanu Latvijā, palīdzēs sasniegt izvirzītos klimata mērķus siltumnīcefekta gāzu emisiju samazināšanā, palīdzēs samazināt enerģētiskās nabadzības līmeni, kā arī veicinās Latvijas tautsaimniecības attīstību, jo ar energoefektivitātes pasākumu īstenošanu, tiek nodrošinātas darba vietas, un tiek nodrošināts vietējo būvmateriālu pieprasījums.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Renovācijas vilņa stratēģijai, Latvijai līdz 2050. gadam ir jāsasniez klimatneitralitāte ēku sektorā. Lai sasniegtu minēto mērķi nepieciešams atjaunot ap 26 600 daudzdzīvokļu dzīvojamo māju. Līdz šim ar ES fondu atbalstu sasniegti tikai 5,7% no Eiropas Komisijas izvirzītā mērķa, attiecīgi secināms, ka nepieciešams rast jaunus risinājumus tempu kāpināšanai.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31. augustā tiks noslēgta šobrīd pieejamā atbalsta programma daudzdzīvokļu dzīvojamo māju atjaunošanai, kas tiek īstenota 2022. gada 14. jūlija Ministru kabinetu noteikumu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(turpmāk tekstā- 1.2.1.1.i. investīcija) ietvaros. Šī brīža aplēses liecina, ka 1.2.1.1.i. investīcijai pieejamais finansējums tiks pilnībā rezervēts 2024. gada IV ceturksnī un tādējādi tiks slēgta iespēja pieteikt jaunus pieteikums.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daudzdzīvokļu māju energoefektivitātes uzlabošanai un neradītu atbalsta pieejamības pārrāvumu, nepieciešams nodrošināt jaunu atbalsta programmu daudzdzīvokļu māju energoefektivitātes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izstrādāta atbalsta programma, kas ietver kārtību, kādā īstenojama 2.1.1.1. investīcija, tai pieejamo finansējumu, izmaksas attiecināmības nosacījumus un atbalsta saņēmējus kā arī atbalsta uzskaiti, neatbalstāmās nozares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79"/>
        <w:gridCol w:w="4561"/>
        <w:tblGridChange w:id="0">
          <w:tblGrid>
            <w:gridCol w:w="4779"/>
            <w:gridCol w:w="456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nozares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sabiedrības “Altum” aizdevums vai garantija, kapitāla atlaide aizdevuma pamatsummas daļējai dzēšanai, un atbalsts tehniskās dokumentācijas sagatavošanai dzīvokļu īpašniekiem energoefektivitātes paaugstināšanas pasākumu īstenošanai. Atbalsts tiks sniegts kā kombinētais finanšu instruments, sākotnēji daudzdzīvokļu mājas energoefektivitātes pasākumu veikšanai izsniedzot aizdevumu vai garantiju, un pēc projekta mērķu sasniegšanas izmaksājot kapitāla atlaidi, tas ir, aizdevuma pamatsummai piemērojot samazinājumu kapitāla atlaides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 “Altum”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saņēmēji un gala labuma guvēji: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dzīvokļu īpašnieki vai juridiskas personas, kuru īpašumā ir daudzdzīvokļu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Daudzdzīvokļu māju apsaimniekotāji un pārvaldnieki var kļūt par sava apsaimniekojamā objekta, daudzdzīvokļu mājas, pilnvaroto personu, ja apsaimniekotājs vai pārvaldnieks ir ieguvis apsaimniekojamā objekta, daudzdzīvokļu mājas dzīvokļu īpašnieku atbilstošu pilnvarojumu.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 investīcijai pieejamais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173 218 155 </w:t>
            </w:r>
            <w:r w:rsidR="00000000" w:rsidRPr="00000000" w:rsidDel="00000000">
              <w:rPr>
                <w:sz w:val="24"/>
                <w:i w:val="1"/>
                <w:rtl w:val="0"/>
              </w:rPr>
              <w:t xml:space="preserve">euro</w:t>
            </w:r>
            <w:r w:rsidR="00000000" w:rsidRPr="00000000" w:rsidDel="00000000">
              <w:rPr>
                <w:sz w:val="24"/>
                <w:rtl w:val="0"/>
              </w:rPr>
              <w:t xml:space="preserve">  (no tā elastības finansējuma apjoms – 23 222 755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147 235 431 </w:t>
            </w:r>
            <w:r w:rsidR="00000000" w:rsidRPr="00000000" w:rsidDel="00000000">
              <w:rPr>
                <w:sz w:val="24"/>
                <w:i w:val="1"/>
                <w:rtl w:val="0"/>
              </w:rPr>
              <w:t xml:space="preserve">euro</w:t>
            </w:r>
            <w:r w:rsidR="00000000" w:rsidRPr="00000000" w:rsidDel="00000000">
              <w:rPr>
                <w:sz w:val="24"/>
                <w:rtl w:val="0"/>
              </w:rPr>
              <w:t xml:space="preserve"> (no tā elastības finansējuma apjoms – 19 124 621 </w:t>
            </w:r>
            <w:r w:rsidR="00000000" w:rsidRPr="00000000" w:rsidDel="00000000">
              <w:rPr>
                <w:sz w:val="24"/>
                <w:i w:val="1"/>
                <w:rtl w:val="0"/>
              </w:rPr>
              <w:t xml:space="preserve">euro</w:t>
            </w:r>
            <w:r w:rsidR="00000000" w:rsidRPr="00000000" w:rsidDel="00000000">
              <w:rPr>
                <w:sz w:val="24"/>
                <w:rtl w:val="0"/>
              </w:rPr>
              <w:t xml:space="preserve">) un valsts budžeta līdzfinansējums – 25 982 724 </w:t>
            </w:r>
            <w:r w:rsidR="00000000" w:rsidRPr="00000000" w:rsidDel="00000000">
              <w:rPr>
                <w:sz w:val="24"/>
                <w:i w:val="1"/>
                <w:rtl w:val="0"/>
              </w:rPr>
              <w:t xml:space="preserve">euro</w:t>
            </w:r>
            <w:r w:rsidR="00000000" w:rsidRPr="00000000" w:rsidDel="00000000">
              <w:rPr>
                <w:sz w:val="24"/>
                <w:rtl w:val="0"/>
              </w:rPr>
              <w:t xml:space="preserve"> (no tā elastības finansējuma apjoms – 4 098 134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150 218 155 </w:t>
            </w:r>
            <w:r w:rsidR="00000000" w:rsidRPr="00000000" w:rsidDel="00000000">
              <w:rPr>
                <w:sz w:val="24"/>
                <w:i w:val="1"/>
                <w:rtl w:val="0"/>
              </w:rPr>
              <w:t xml:space="preserve">euro</w:t>
            </w:r>
            <w:r w:rsidR="00000000" w:rsidRPr="00000000" w:rsidDel="00000000">
              <w:rPr>
                <w:sz w:val="24"/>
                <w:rtl w:val="0"/>
              </w:rPr>
              <w:t xml:space="preserve"> (no tā elastības finansējuma apjoms – 20 139 225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127 685 432 </w:t>
            </w:r>
            <w:r w:rsidR="00000000" w:rsidRPr="00000000" w:rsidDel="00000000">
              <w:rPr>
                <w:sz w:val="24"/>
                <w:i w:val="1"/>
                <w:rtl w:val="0"/>
              </w:rPr>
              <w:t xml:space="preserve">euro</w:t>
            </w:r>
            <w:r w:rsidR="00000000" w:rsidRPr="00000000" w:rsidDel="00000000">
              <w:rPr>
                <w:sz w:val="24"/>
                <w:rtl w:val="0"/>
              </w:rPr>
              <w:t xml:space="preserve"> (no tā elastības finansējuma apjoms – 16 585 244 </w:t>
            </w:r>
            <w:r w:rsidR="00000000" w:rsidRPr="00000000" w:rsidDel="00000000">
              <w:rPr>
                <w:sz w:val="24"/>
                <w:i w:val="1"/>
                <w:rtl w:val="0"/>
              </w:rPr>
              <w:t xml:space="preserve">euro</w:t>
            </w:r>
            <w:r w:rsidR="00000000" w:rsidRPr="00000000" w:rsidDel="00000000">
              <w:rPr>
                <w:sz w:val="24"/>
                <w:rtl w:val="0"/>
              </w:rPr>
              <w:t xml:space="preserve">) un valsts budžeta līdzfinansējums – 22 532 723 </w:t>
            </w:r>
            <w:r w:rsidR="00000000" w:rsidRPr="00000000" w:rsidDel="00000000">
              <w:rPr>
                <w:sz w:val="24"/>
                <w:i w:val="1"/>
                <w:rtl w:val="0"/>
              </w:rPr>
              <w:t xml:space="preserve">euro</w:t>
            </w:r>
            <w:r w:rsidR="00000000" w:rsidRPr="00000000" w:rsidDel="00000000">
              <w:rPr>
                <w:sz w:val="24"/>
                <w:rtl w:val="0"/>
              </w:rPr>
              <w:t xml:space="preserve"> (no tā elastības finansējuma apjoms – 3 553 981 </w:t>
            </w:r>
            <w:r w:rsidR="00000000" w:rsidRPr="00000000" w:rsidDel="00000000">
              <w:rPr>
                <w:sz w:val="24"/>
                <w:i w:val="1"/>
                <w:rtl w:val="0"/>
              </w:rPr>
              <w:t xml:space="preserve">euro</w:t>
            </w:r>
            <w:r w:rsidR="00000000" w:rsidRPr="00000000" w:rsidDel="00000000">
              <w:rPr>
                <w:sz w:val="24"/>
                <w:rtl w:val="0"/>
              </w:rPr>
              <w:t xml:space="preserve">) šo noteikumu 22.1. apakšpunktā noteiktā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10 000 000 </w:t>
            </w:r>
            <w:r w:rsidR="00000000" w:rsidRPr="00000000" w:rsidDel="00000000">
              <w:rPr>
                <w:sz w:val="24"/>
                <w:i w:val="1"/>
                <w:rtl w:val="0"/>
              </w:rPr>
              <w:t xml:space="preserve">euro</w:t>
            </w:r>
            <w:r w:rsidR="00000000" w:rsidRPr="00000000" w:rsidDel="00000000">
              <w:rPr>
                <w:sz w:val="24"/>
                <w:rtl w:val="0"/>
              </w:rPr>
              <w:t xml:space="preserve"> (no tā elastības finansējuma apjoms – 1 340 665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8 500 000 </w:t>
            </w:r>
            <w:r w:rsidR="00000000" w:rsidRPr="00000000" w:rsidDel="00000000">
              <w:rPr>
                <w:sz w:val="24"/>
                <w:i w:val="1"/>
                <w:rtl w:val="0"/>
              </w:rPr>
              <w:t xml:space="preserve">euro</w:t>
            </w:r>
            <w:r w:rsidR="00000000" w:rsidRPr="00000000" w:rsidDel="00000000">
              <w:rPr>
                <w:sz w:val="24"/>
                <w:rtl w:val="0"/>
              </w:rPr>
              <w:t xml:space="preserve"> (no tā elastības finansējuma apjoms – 1 104 077 </w:t>
            </w:r>
            <w:r w:rsidR="00000000" w:rsidRPr="00000000" w:rsidDel="00000000">
              <w:rPr>
                <w:sz w:val="24"/>
                <w:i w:val="1"/>
                <w:rtl w:val="0"/>
              </w:rPr>
              <w:t xml:space="preserve">euro</w:t>
            </w:r>
            <w:r w:rsidR="00000000" w:rsidRPr="00000000" w:rsidDel="00000000">
              <w:rPr>
                <w:sz w:val="24"/>
                <w:rtl w:val="0"/>
              </w:rPr>
              <w:t xml:space="preserve">) un valsts budžeta līdzfinansējums – 1 500 000 </w:t>
            </w:r>
            <w:r w:rsidR="00000000" w:rsidRPr="00000000" w:rsidDel="00000000">
              <w:rPr>
                <w:sz w:val="24"/>
                <w:i w:val="1"/>
                <w:rtl w:val="0"/>
              </w:rPr>
              <w:t xml:space="preserve">euro</w:t>
            </w:r>
            <w:r w:rsidR="00000000" w:rsidRPr="00000000" w:rsidDel="00000000">
              <w:rPr>
                <w:sz w:val="24"/>
                <w:rtl w:val="0"/>
              </w:rPr>
              <w:t xml:space="preserve"> (no tā elastības finansējuma apjoms – 236 588 </w:t>
            </w:r>
            <w:r w:rsidR="00000000" w:rsidRPr="00000000" w:rsidDel="00000000">
              <w:rPr>
                <w:sz w:val="24"/>
                <w:i w:val="1"/>
                <w:rtl w:val="0"/>
              </w:rPr>
              <w:t xml:space="preserve">euro</w:t>
            </w:r>
            <w:r w:rsidR="00000000" w:rsidRPr="00000000" w:rsidDel="00000000">
              <w:rPr>
                <w:sz w:val="24"/>
                <w:rtl w:val="0"/>
              </w:rPr>
              <w:t xml:space="preserve">)  šo noteikumu 22.2. apakšpunktā noteiktā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10 000 000 </w:t>
            </w:r>
            <w:r w:rsidR="00000000" w:rsidRPr="00000000" w:rsidDel="00000000">
              <w:rPr>
                <w:sz w:val="24"/>
                <w:i w:val="1"/>
                <w:rtl w:val="0"/>
              </w:rPr>
              <w:t xml:space="preserve">euro</w:t>
            </w:r>
            <w:r w:rsidR="00000000" w:rsidRPr="00000000" w:rsidDel="00000000">
              <w:rPr>
                <w:sz w:val="24"/>
                <w:rtl w:val="0"/>
              </w:rPr>
              <w:t xml:space="preserve"> (no tā elastības finansējuma apjoms – 1 340 665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8 500 000 </w:t>
            </w:r>
            <w:r w:rsidR="00000000" w:rsidRPr="00000000" w:rsidDel="00000000">
              <w:rPr>
                <w:sz w:val="24"/>
                <w:i w:val="1"/>
                <w:rtl w:val="0"/>
              </w:rPr>
              <w:t xml:space="preserve">euro</w:t>
            </w:r>
            <w:r w:rsidR="00000000" w:rsidRPr="00000000" w:rsidDel="00000000">
              <w:rPr>
                <w:sz w:val="24"/>
                <w:rtl w:val="0"/>
              </w:rPr>
              <w:t xml:space="preserve"> (no tā elastības finansējuma apjoms – 1 104 077 </w:t>
            </w:r>
            <w:r w:rsidR="00000000" w:rsidRPr="00000000" w:rsidDel="00000000">
              <w:rPr>
                <w:sz w:val="24"/>
                <w:i w:val="1"/>
                <w:rtl w:val="0"/>
              </w:rPr>
              <w:t xml:space="preserve">euro</w:t>
            </w:r>
            <w:r w:rsidR="00000000" w:rsidRPr="00000000" w:rsidDel="00000000">
              <w:rPr>
                <w:sz w:val="24"/>
                <w:rtl w:val="0"/>
              </w:rPr>
              <w:t xml:space="preserve">) un valsts budžeta līdzfinansējums – 1 500 000 </w:t>
            </w:r>
            <w:r w:rsidR="00000000" w:rsidRPr="00000000" w:rsidDel="00000000">
              <w:rPr>
                <w:sz w:val="24"/>
                <w:i w:val="1"/>
                <w:rtl w:val="0"/>
              </w:rPr>
              <w:t xml:space="preserve">euro</w:t>
            </w:r>
            <w:r w:rsidR="00000000" w:rsidRPr="00000000" w:rsidDel="00000000">
              <w:rPr>
                <w:sz w:val="24"/>
                <w:rtl w:val="0"/>
              </w:rPr>
              <w:t xml:space="preserve"> (no tā elastības finansējuma apjoms – 236 588 </w:t>
            </w:r>
            <w:r w:rsidR="00000000" w:rsidRPr="00000000" w:rsidDel="00000000">
              <w:rPr>
                <w:sz w:val="24"/>
                <w:i w:val="1"/>
                <w:rtl w:val="0"/>
              </w:rPr>
              <w:t xml:space="preserve">euro</w:t>
            </w:r>
            <w:r w:rsidR="00000000" w:rsidRPr="00000000" w:rsidDel="00000000">
              <w:rPr>
                <w:sz w:val="24"/>
                <w:rtl w:val="0"/>
              </w:rPr>
              <w:t xml:space="preserve">)  – sabiedrības "Altum" aizdevumu sniegšanai, tai skaitā aizdevumu kredītriska zaudējumu un kapitāla atlaides segšanai balstoties uz sagaidāmo zaudējumu riska novērtējumu atbilstoši Attīstības finanšu institūcijas likuma 12. panta trešajai daļai (ja sagaidāmie zaudējumi pārsniedz aprēķināto sagaidāmo zaudējumu apmēru, tos sedz sabiedrība "Altum" no saviem finanšu resursiem. Sabiedrībai "Altum" ir tiesības atteikties no turpmākās aizdevumu piešķiršanas, ja faktiskie un prognozētie zaudējumi pārsniedz pieejamo publisko finansējumu zaudējumu segšanai), un sabiedrības "Altum" pārvaldības maksas segšanai, lai nodrošinātu 2.1.1.1. investīcijas administrēšanas un uzraudzības funkciju funkcijasnodrošināšanai;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3 000 000 </w:t>
            </w:r>
            <w:r w:rsidR="00000000" w:rsidRPr="00000000" w:rsidDel="00000000">
              <w:rPr>
                <w:sz w:val="24"/>
                <w:i w:val="1"/>
                <w:rtl w:val="0"/>
              </w:rPr>
              <w:t xml:space="preserve">euro</w:t>
            </w:r>
            <w:r w:rsidR="00000000" w:rsidRPr="00000000" w:rsidDel="00000000">
              <w:rPr>
                <w:sz w:val="24"/>
                <w:rtl w:val="0"/>
              </w:rPr>
              <w:t xml:space="preserve">  (no tā elastības finansējuma apjoms – 402 200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2 550 000 </w:t>
            </w:r>
            <w:r w:rsidR="00000000" w:rsidRPr="00000000" w:rsidDel="00000000">
              <w:rPr>
                <w:sz w:val="24"/>
                <w:i w:val="1"/>
                <w:rtl w:val="0"/>
              </w:rPr>
              <w:t xml:space="preserve">euro</w:t>
            </w:r>
            <w:r w:rsidR="00000000" w:rsidRPr="00000000" w:rsidDel="00000000">
              <w:rPr>
                <w:sz w:val="24"/>
                <w:rtl w:val="0"/>
              </w:rPr>
              <w:t xml:space="preserve"> (no tā elastības finansējuma apjoms – 331 223 </w:t>
            </w:r>
            <w:r w:rsidR="00000000" w:rsidRPr="00000000" w:rsidDel="00000000">
              <w:rPr>
                <w:sz w:val="24"/>
                <w:i w:val="1"/>
                <w:rtl w:val="0"/>
              </w:rPr>
              <w:t xml:space="preserve">euro</w:t>
            </w:r>
            <w:r w:rsidR="00000000" w:rsidRPr="00000000" w:rsidDel="00000000">
              <w:rPr>
                <w:sz w:val="24"/>
                <w:rtl w:val="0"/>
              </w:rPr>
              <w:t xml:space="preserve">) un valsts budžeta līdzfinansējums – 450 000 </w:t>
            </w:r>
            <w:r w:rsidR="00000000" w:rsidRPr="00000000" w:rsidDel="00000000">
              <w:rPr>
                <w:sz w:val="24"/>
                <w:i w:val="1"/>
                <w:rtl w:val="0"/>
              </w:rPr>
              <w:t xml:space="preserve">euro</w:t>
            </w:r>
            <w:r w:rsidR="00000000" w:rsidRPr="00000000" w:rsidDel="00000000">
              <w:rPr>
                <w:sz w:val="24"/>
                <w:rtl w:val="0"/>
              </w:rPr>
              <w:t xml:space="preserve"> (no tā elastības finansējuma apjoms – 70 976 </w:t>
            </w:r>
            <w:r w:rsidR="00000000" w:rsidRPr="00000000" w:rsidDel="00000000">
              <w:rPr>
                <w:sz w:val="24"/>
                <w:i w:val="1"/>
                <w:rtl w:val="0"/>
              </w:rPr>
              <w:t xml:space="preserve">euro</w:t>
            </w:r>
            <w:r w:rsidR="00000000" w:rsidRPr="00000000" w:rsidDel="00000000">
              <w:rPr>
                <w:sz w:val="24"/>
                <w:rtl w:val="0"/>
              </w:rPr>
              <w:t xml:space="preserve">)  – Ministru kabineta 2016. gada 15. marta noteikumu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 ietvaros otrā posmā īstenoto projektu finansēšanai.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 investīcijas ieviešanas termiņš: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gada 31. decembris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rādītāji (sasniedzami līdz 2029. gada 31. decembrim):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primārās enerģijas patēriņa samazinājums – vismaz 33577245    kWh/gadā;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atbalstīto māju platība – vismaz 746 161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atbalstīto dzīvokļu īpašumu skaits – vismaz 11 320 dzīvokļu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atbalstīto dzīvokļu īpašumu skaits, kuros dzīvo enerģētikas nabadzības riskam pakļautas personas – vismaz 2017 dzīvokļu īpašumi.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Piegādātāju atlase: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īstenošanā atbalsta saņēmēji nepiemēro normatīvos aktus piegādātāju atlases jomā, izņemot atbalsta saņēmēji, kas ir pasūtītāji Publisko iepirkumu likuma izpratnē.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Vizuālās identitātes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Līgumos par projekta īstenošanu un par sadarbību ar sadarbības partneriem noteikts, ka projekta īstenošanas laikā ir jānodrošina vizuālās identitātes prasības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Principu ievērošana: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Dzīvokļu īpašnieku pilnvarotā persona nodrošina, ka projekta īstenošanas laikā tiks ievērots princips "Klimatdrošināšana", atbilstoši 2021. gada 29. jūlija Eiropas komisijas paziņojumam par sagatavotajiem norādījumiem  par infrastruktūras klimatnoturību 2021. –2027. gadā, kā arī princips "Nenodarīt būtisku kaitējumu", kas atbilst ​Eiropas Parlamenta un Padomes 2020. gada 18. jūnija Regulas (ES) 2020/852 par regulējuma izveidi ilgtspējīgu ieguldījumu veicināšanai un ar ko groza regulu (ES) 2019/2088, 18. pantam un normatīvajiem aktiem vides jomā.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paredzēts daudzdzīvokļu dzīvojamām mājām (ēkas, kurās ir vismaz 3 dzīvokļi), kas ir vai nav sadalītas dzīvokļu īpašumos un neatkarīgi no dzīvokļu īpašnieku skaita, tādējādi nodrošinot plašu potenciālo atbalsta saņēmēju loku, piemēram, uz atbalstu var pretendēt arī persona, kura ir mājas vienīgais dzīvokļu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kas nav realizēti 1.2.1.1.i. investīcijas ietvaros, bet ir iedzīvotāju pieņemti lēmumi un/vai sagatavota tehniskā dokumentācija atbalsta saņemšanai 1.2.1.1.i. investīcijas ietvaros, dzīvokļu īpašnieki iepriekš minētos lēmumus un dokumentus var iesniegt arī šīs atbalsta programmas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Energoservisa kompānijas (ESKO)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Energoservisa kompānijas (turpmāk – ESKO) nodrošina projekta īstenošanas vadību, finansējuma piesaisti, projekta rādītāju sasniegšanu, bet pats neveic darbus ēkas energoefektivitātes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pakalpojuma sniedzēji ir būvdarbu veicēji, būvuzraugi, un citi līdzīgi pakalpojumi. ESKO sniedz labumus saskaņā ar Energoefektivitātes likumā noteikto. Atbalsta piešķiršanu (tai skaitā de minimis) un uzskaiti veic sabiedrība "Altum", bet ESKO darbojas kā starpnieks un projekta vadītājs, kas nodrošina ēkas energoefektivitātes paaugstināšanas projekta mērķu sasniegšanu, taču gala labuma guvēji ir dzīvokļi īpašnieki, tāpēc saņemtais atbalsts) tai skaitā de minimis atbalsts, ja attiecināms uz dzīvokļa īpašnieku) ir nododams tālāk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ESKO var būt dzīvokļu īpašnieku pilnvarotā persona šo noteikumu izpratnē projekta īstenošanas nodrošināšanai, bet līgums par ESKO izvēli tiks veikts ārpus šī noteikumu projekta regulējuma un to var slēgt ESKO un dzīvokļu īpašnieku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2.1.1.1. investīcijas un 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investīcijas mērķis atbalsta programmas līmenī ir sasniegt vismaz 30 % kopējās primārās enerģijas ietaupījumu no māju kopējās primārās enerģijas patēriņa pirms projektu uzsākšanas. Šī mērķa sasniegšanā tiek ieskaitītas tās mājas, kas atbalsta programmas ietvaros ir saņēmušas kapitāla atlaidi un paaugstinājušas energoefektivitāti, atbilstoši šo noteikumu projekta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līmeni tiek izdalīti divi sasniedzamo mērķu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30 procentus kopējās primārās enerģijas ietaupījums no mājas kopējās primārās enerģijas patēriņa salīdzinot ar patēriņu pirms projekta uzsākšanas, ja māja atrodas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29 procentiem kopējās primārās enerģijas ietaupījums no mājas kopējās primārās enerģijas patēriņa salīdzinot ar patēriņu pirms projekta uzsākšanas, ja māja atrodas Latgales plānošanas reģionā (turpmāk- Latgale).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 sasniedzamā mērķa virziena ierobežojums, nosakot to, ka atbalstu var saņemt Latgalē, noteikts pamatojoties uz Centrālās statistikas pārvaldes datiem par iedzīvotāju īpatsvaru zem minimālo ienākumu līmeņa reģionos, kurā redzams, ka Latgales statistiskajā reģionā, salīdzinot ar pārējiem statistiskajiem reģioniem, 2019.-2022. gada periodā bijis viss lielākais iedzīvotāju īpatsvars zem minimālā ienākuma līmeņa. Attiecīgi, šādai iedzīvotāju grupai ir komplicētāk vienoties par kompleksiem atjaunošanas darbiem, kuru rezultātā jāsasniedz vismaz 30% ietaupījumu kopējai primārai enerģijai. Pēc 1.2.1.1.i. investīcijas datiem, projektos, kuri sasniedz 30% kopējai primārai enerģijai, projekta kopējās izmaksas vidēji sastāda 621 415 euro, turpretim, projektos, kuros būtu nepieciešams sasniegt 10% ietaupījumu kopējai primārai enerģijai, projekta kopējās izmaksas vidēji sastādītu 207 138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un veicinātu daudzdzīvokļu māju atjaunošanu arī Latgalē, ir nepieciešams nodrošināt finansējumu projektiem, kuru mērķis ir sasniegt mazāk kā 30 % (bet ne mazāk kā 10%) kopējā primārās enerģijas ietaupījuma no mājas kopējā primārās enerģijas patēriņa pirms projekta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ka atbalsta programmas ietvaros tiktu atbalstīti arī tie projekti, kas sasniedz nelielu ietaupījumu jeb projekti, kas veic, piemēram, tikai logu nomaiņu. Tomēr, ņemot vērā programmas virsmērķi, kas ir energoefektivitātes paaugstināšana dzīvojamās mājās, tiek noteikts, ka projekta līmenī jāsasniedz vismaz 10 % kopējās primārās enerģijas ietaupījums no daudzdzīvokļu mājas kopējā primārās enerģijas patēriņa pirms projekta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1.2.1.1.i. investīcijas ietvaros īstenoto projektu datiem redzams, ka tādi pasākumi kā ārdurvju nomaiņa, gala sienu siltināšana, pamatu siltināšana un cokola siltināšana, īstenoti vieni, nenodrošinās 10 % ietaupījumu primārai kopējai enerģijai. Tos nepieciešams savstarpēji kombinēt vai kombinēt ar kādu pasākumu, kas nodrošina 10% ietaupījumu primārai kopējai enerģijai, piemēram, logu nomaiņu.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Kapitāla atlaide-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atlaide tiek gradēta pēc noteiktā projekta mērķa. Kapitāla atlaides apmērs tiek aprēķināts no projekta attiecināmajām izmaksām un tas kopā ar atbalstu tehniskās dokumentācijas sagatavošanai nepārsniedz: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50%, ja tiek sasniegts vismaz 30 % kopējās primārās enerģijas ietaupījums no mājas kopējās primārās enerģijas patēriņa salīdzinot ar patēriņu pirms projekta uzsākšanas un uzstādīti rūpnieciski ražoti koka karkasa paneļi;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50%, ja tiek sasniegts vismaz 30 % kopējās primārās enerģijas ietaupījums no mājas kopējās primārās enerģijas patēriņa salīdzinot ar patēriņu pirms projekta uzsākšanas un iesniegts pieteikums par atbalsta saņemšanu vismaz trīs kvartāla ietvaros esošām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40%, ja tiek sasniegts vismaz 30 % kopējās primārās enerģijas ietaupījums no mājas kopējās primārās enerģijas patēriņa salīdzinot ar patēriņu pirms projekta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40%, ja projekta mērķis ir sasniegt 10 līdz 29 % kopējās primārās enerģijas ietaupījums no mājas kopējās primārās enerģijas patēriņa salīdzinot ar patēriņu pirms projekta uzsākšanas, bet ne vairāk kā 80 000 euro uz katra projekta attiecināmajām izmaksām, kas noteiktas atbilstoši šo noteikumu 28.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Rūpnieciski ražoti koka karkasa paneļi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Pašreizējie daudzdzīvokļu dzīvojamo māju atjaunošanas, tai skaitā, energoefektivitātes veicināšanas risinājumi apgrūtina atjaunošanas tempu kāpināšanu, jo tie pēc savas būtības ir laikietilpīgi un cilvēku resursu prasoši. Šī iemesla dēļ, ir rasts risinājums, kuru turpmāk pielietot daudzdzīvokļu dzīvojamo māju atjaunošanā.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kurš jau plaši tiek pielietots ārvalstīs, tai skaitā Igaunijā, ir rūpnieciski ražotu koka karkasa paneļu izmantošana daudzdzīvokļu māju atjaunošanā. Ieviešot šādu risinājumu būtiski uzlabotos daudzdzīvokļu māju atjaunošanas temps, jo laiks, ko nepieciešams pavadīt būvlaukumā būtu krietni īsāks. Tāpat tiktu nodrošināta vienmērīgi augstas kvalitātes siltināšanas risinājumu izmantošana, uzlabojot daudzdzīvokļu māju energoefektivitāti. Vienlaikus minētā risinājuma izmantošanas veicināšana valstī rada papildus pozitīvus tautsaimniecības stimulus, tai skaitā, attīstīta jauna, inovatīva ražošana, papildus darba vietas kā arī papildus iemaksātie nodokļi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risinājuma būtiskākais trūkums ir izmaksas, kas sākotnēji ir augstākas kā izmantojot tradicionālos daudzdzīvokļu dzīvojamo māju atjaunošanas paņēmienus, tomēr tos iespējams kompensēt ilgtermiņā ar zemākām ekspluatācijas izmaiņām. Šī brīža aplēses liecina, ka rūpnieciski ražotu koka karkasu paneļu pielietošana rada apmēram 30% sadārdzinājumu pretstatā līdz šim izmantotajiem daudzdzīvokļu dzīvojamo māju energoefektivitātes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piedāvātais risinājums nav līdz šim plaši pielietots daudzdzīvokļu māju energoefektivitātes uzlabošanā Latvijā un tas rada apmēram 30% sadārdzinājumu pretstatā līdz šim izmantotajiem daudzdzīvokļu dzīvojamo māju energoefektivitātes risinājumiem, pielietojot šo risinājumu piemērojams maksimāli iespējamais kapitāla atlaides apmērs jeb 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Kvartālu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iespējamais kapitāla atlaides apmērs jeb 50% tiek piemērots arī ja tiek iesniegts pieteikums par atbalsta saņemšanu vismaz trīs mājām jeb realizēta tā sauktā "kvartālu atjaunošana". Šāda pieeja veicinātu daudzdzīvokļu māju energoefektivitātes tempu kāpināšanu un samazinātu projektu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 gada 30. aprīļa noteikumos Nr. 240 “Vispārīgie teritorijas plānošanas, izmantošanas un apbūves noteikumi” ietverto definīciju, ar kvartālu tiek saprasta pilsētas vai ciema teritorija, ko pa perimetru norobežo ielas, zemes vienību robežas, meži, ūdeņi vai, ja nav izveidojusies ielu struktūra, kādi citi dabiski šķēršļi.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Mājām, kuras plānots atjaunot, izmantojot «kvartāla pieeju», pieteikums būs jāiesniedz par katru māju atsevišķi. Iesniedzot pieteikumu Altum, pieteikumā būs nepieciešams atzīmēt, ka māja tiks atjaunota izmantojot «kvartāla pieeju» un norādīt ar kurām mājām kopā tā tiks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Kapitāla atlaide- rezervēšana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Rezervējot kapitāla atlaidi, paredzētas divas pieejas.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1.pieeja</w:t>
      </w:r>
      <w:r w:rsidR="00000000" w:rsidRPr="00000000" w:rsidDel="00000000">
        <w:rPr>
          <w:rtl w:val="0"/>
        </w:rPr>
        <w:t xml:space="preserve"> - atbilstoši noteikumu projekta 59. līdz 64.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pieeja</w:t>
      </w:r>
      <w:r w:rsidR="00000000" w:rsidRPr="00000000" w:rsidDel="00000000">
        <w:rPr>
          <w:rtl w:val="0"/>
        </w:rPr>
        <w:t xml:space="preserve"> - atbilstoši noteikumu projekta 65. līdz 70.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Kapitāla atlaide-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lēmumu par kapitāla atlaides izmaksāšanu pieņem, ņemot vērā maksimālo kapitāla atlaides apjomu, kas noteikts līgumā ar pilnvaroto personu par projekta īstenošanu, un faktiski veikto projekta attiecināmo izmaksu apjomu, ko nosaka, pamatojoties uz šo noteikumu 72.2.1. apakšpunktā minētajiem dokumentiem,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un atjaunojamo energoresursu tehnoloģiju pasākumi ir īstenoti, ēka ir nodota ekspluatācijā un pilnvarotā persona ir iesniegusi Būvniecības informācijas sistēmā ēkas pagaidu energosertifikātu, kas apliecina šo noteikumu 22. punktā minētā nosacījuma izpildi. Ēkas pagaidu energosertifikāts tiek precizēts pēc projekta pabeigšanas saskaņā ar spēkā esošiem normatīvajiem aktiem ēku energosertifikācijas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*triju mēnešu laikā pēc ēkas nodošanas ekspluatācijā, bet ne vēlāk kā šo noteikumu 37. punktā minētajā termiņā pilnvarotā persona sabiedrībā "Altum" ir iesniegusi: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*attiecināmās izmaksas pamatojošo dokumentāciju, tai skaitā noslēgtos līgumus un pieņemšanas un nodošanas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sabiedrības "Altum" tīmekļvietnē norādīto informāciju, kas nepieciešama projekta īstenošanas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faktiski veikto projekta attiecināmo izmaksu apjoms ir lielāks nekā līgumā ar pilnvaroto personu par projekta īstenošanu norādītais, izmaksājamās kapitāla atlaides apjoms nepārsniedz līgumā norādīto kapitāla atlaides apjomu. Ja faktiski veikto projekta attiecināmo izmaksu apjoms ir mazāks nekā līgumā ar pilnvaroto personu par projekta īstenošanu norādītais, izmaksājamo kapitāla atlaides apjomu atbilstoši samazina. Sabiedrība "Altum" lēmumu par kapitāla atlaides izmaksāšanu pieņem pēc visu pamatojošo dokumentu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pilnvarotā persona projekta īstenošanai piesaista cita finansētāja aizdevumu un sabiedrības "Altum" garantiju, sabiedrība "Altum" kapitāla atlaidi projekta īstenošanai ieskaita cita finansētāja atvērtajā kontā kā aizdevuma pamatsummas daļēju atmaksu saskaņā ar sadarbības līgumu, kas noslēgts starp sabiedrību "Altum" un citu finansētāju. Sabiedrībai "Altum" ir tiesības pārbaudīt cita finansētāja aizdevuma izlietojuma atbilstību šajos noteikumos noteiktajām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pilnvarotā persona projekta īstenošanai piesaista sabiedrības "Altum" aizdevumu, sabiedrība "Altum" kapitāla atlaidi attiecina uz daļu no izsniegtā aizdevuma, piešķirtās kapitāla atlaides apmērā samazinot atmaksājamo aizdevuma pamatsummu.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attiecināmas šādas tehniskās dokumentācijas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energosertifikāts, kas izstrādāts saskaņā ar spēkā esošiem normatīvajiem aktiem ēku energosertifikācijas jomā, un ko izstrādājis neatkarīgs eksperts ēku energoefektivitātes jomā vai kas izstrādāts un iesniegts Būvniecības informācijas sistēmā līdz 2021. gada 15.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 eksperta ēku energoefektivitātes jomā izstrādāts pārskats par ekonomiski pamatotiem ēkas norobežojošo konstrukciju un inženiersistēmu energoefektivitāti uzlabojošiem pasākumiem saskaņā ar energosertifikāta izstrādes laikā spēkā esošajiem normatīvajiem aktiem par ēku energoefektivitātes aprēķina metodi un ēku energosertifikāciju vai kas izstrādāts un iesniegts Būvniecības informācijas sistēmā līdz 2021. gada 15.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pagaidu energosertifikāts, kas izstrādāts saskaņā ar spēkā esošiem normatīvajiem aktiem ēku energosertifikācijas jomā, un ko izstrādājis neatkarīgs eksperts ēku energoefektivitātes jomā vai kas izstrādāts un iesniegts Būvniecības informācijas sistēmā līdz 2021. gada 15.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ēkas enegosertifikāts izstrādāts un iesniegts Būvniecības informācijas sistēmā līdz 2021. gada 15. aprīlim, Neatkarīga eksperta ēku energoefektivitātes jomā e-parakstīta ēkas energosertifikāta pārrēkina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*būvspeciālistu sagatavots tehniskās apsekošanas atzinums, kas izstrādāts saskaņā ar spēkā esošajiem normatīvajiem aktiem, vai tehniskās apsekošanas atzinums, kas izstrādāts līdz 2021. gada 31. oktobrim atbilstoši izstrādes laikā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*būvspeciālistu sagatavots būvprojekts vai paskaidrojuma raksts saskaņā ar II un III grupas ēku atjaunošanas nosacījumiem atbilstoši ēku būvnoteikumiem vai ēkas fasādes apliecinājuma karte, kas akceptēta būvvaldē līdz 2021.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par būvniecību vai paskaidrojuma raksts inženierbūvēm saskaņā ar atsevišķu inženierbūvju būvnoteikumiem;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izdevumu kopsavilkumu par visām plānotajām projekta attiecināmajām izmaksām un kontroltāmi atbilstoši šo noteikumu 28.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digitālā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ražošanas avotu izmantošanas prioritārās kārtības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28.2. apakšpunktā minēto dokumentu sagatavošanas izmaksas ir attiecināmas, ja tās radušās ne agrāk kā no 2021.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novērtējums, pamatojoties tikai uz izmērītās ēkas energoefektivitātes novērtējumu jeb t.s.” vienkāršotais ēkas energosertifikāts”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atbalsta programmas kapitāla atlaides rezervēšanas pirmās pieejas ietvaros, nepieciešams izstrādāt ēkās energosertifikātu, kas ir balstīts uz 2021. gada 8. aprīļa Ministru kabineta noteikumu Nr.222 "Ēku energoefektivitātes aprēķina metodes un ēku energosertifikācijas noteikumi" (turpmāk- MK noteikumi Nr. 222) 6.punktu, kurā regulēts ēkas energosertifikāts, kas var tikt izsniegts pamatojoties tikai uz izmērītās ēkas energoefektivitātes novērtējumu (jeb skaitītāju rādījumu datiem). Šāda procedūra ir piemērojama tikai tādām ekspluatācijā esošām ēkām, kurām ir individuāla enerģijas patēriņa uzskaite, un ir pieejami enerģijas patēriņa dati pamatojoties uz piegādātās un eksportētās enerģijas izmērītajiem daudzumiem par vismaz pēdējo triju gadu periodu, kura laikā ēka ir pastāvīgi ekspluatēta un ēkai nav veiktas pārbūves vai funkciju maiņas, kas ietekmē ēkas enerģijas patēriņu apkurei un sasniedzamos neatjaunojamās primārās enerģijas energoefektivitātes novērtējuma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ēku energoefektivitātes novērtējuma, pamatojoties uz aprēķiniem un uz faktisko enerģijas patēriņu jeb “pilnais energosertifikāts”, kas balstīts uz MK noteikumu Nr. 222 5.punktu, izmērītās energoefektivitātes novērtējuma izstrāde balstās tikai uz izmērītajiem enerģijas patēriņa datiem un nav jāveic aprēķina modeļa validācija ar aprēķināto novērtējumu. Kā arī obligāti pievienojamās dokumentācijas apjoms ir noteikts mazāks salīdzinājumā ar novērtējumu, kurš balstās gan uz izmērīto, gan aprēķināto ēkas energoefektivitāti, tajā skaitā pārskats par energoefektivitāti uzlabojošiem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222 "Ēku energoefektivitātes aprēķina metodes un ēku energosertifikācijas noteikumi" 7. punktā noteikts, ka pārbūvējamām un atjaunojamām ēkām energosertifikāciju var neveikt, ja ēkai ir spēkā esošs ēkas energosertifikāts un ēkai pārbūves un atjaunošanas laikā ir veikti tādi darbi, nomainītas inženiersistēmas vai veikta to atjaunošana, kas ietekmē ēkas enerģijas patēriņu apkurei un sasniedzamos neatjaunojamās primārās enerģijas energoefektivitātes novērtējuma rādītājus ne vairāk par 5 %. Ņemot vērā, ka šīs atbalsta programmas ietvaros plānots sasniegt vismaz 10 % ietaupījumu kopējai primārai enerģijai, ēkas energosertifikāta izstrāde visos gadījumos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var izmantot izmaksām, kas saistītas ar daudzdzīvokļu mājas energoefektivitātes uzlabošanu un pāreju uz atjaunojamo energoresursu tehnoloģiju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veikšana ēkas norobežojošajās konstrukcijās un koplietošanas telpās, tai skaitā logu un durvju nomaiņa, būvdarbi pagrabtelpās un bēniņos.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dzīvojamās mājas inženiersistēmu atjaunošana, pārbūve vai ierīkošana, tai skaitā nodrošinot individuālu siltuma uzskaiti saskaņā ar normatīvajiem aktiem par ekspluatējamu ēku energoefektivitātes minimālām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Inženiersistēmu atjaunošana ietver pasākumus, kuri norādīti ēkas energosertifikātā, tai skaitā siltumapgādes sistēmas, ventilācijas atjaunošana. Nav atbalstāmi ieguldījumi fosilo enerģiju izmantojošās tehnoloģiskās iekārtās, piemēram, gāzes apkures katla atjaunošana, bet ir atbalstāma, piemēram, pāreja no gāzes apkures katla uz biomasas apkures katlu.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*mikroģenerācijas enerģijas ražošanas tehnoloģisko iekārtu iegādei un uzstādīšanai, lai nodrošinātu enerģijas ražošanu pašpatēriņam no atjaunojamiem energoresursiem un enerģijas piegādi pašpatēriņam. Šī apakšpunkta izpratnē par pašpatēriņu uzskatām vismaz 80% no saražotās enerģijas izmantošana pašpatēriņam gada griezumā visā iekārtu amortizācijas periodā, kurus var piemērot tādi dzīvokļu īpašnieki,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 īpašumu neizmanto saimnieciskās darbības veikšanai, t.sk. iznomāšanai;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 īpašumu izmanto saimnieciskās darbības veikšanai, t.sk. nekustamo īpašumu attīstītāji, un tie kvalificējas kā saimnieciskās darbības veicēji.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autoruzraudzība un būvuzraudzība;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izmaksas, nepārsniedzot 3% no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*citiem pasākumiem, ja tie ir nepieciešami daudzdzīvokļu mājas energoefektivitātes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pasākumi ietver darbības, kas nepieciešami pēc energoefektivitātes pasākumu veikšanas, lai nodrošinātu atbilstošu mājas tehnisko stāvokli, vai darbi, kas  nodrošina energoefektivitātes pasākumu ilgtspēju, piemēram, ja tiek veikti energoefektivitātes pasākumi bēniņos, tad, iespējams, jāveic arī bojātā jumta nomaiņa vai remonts, lai no energoefektivitātes pasākumu īstenošanas tiktu gūts labums. Ja projekta ietvaros tiek veikti remontdarbi koplietošanas telpās, tad var veikt kosmētisko remontu koplietošanas telpās, lai atjaunotu vai uzlabotu tehnisko stāvokli un nodrošinātu ēkas ilgtspēju. Sabiedrība “Altum” veiks projektā plānoto un reāli veikto darbu pārbaudi, lai nodrošinātu, ka tiek ievēroti atbalstāmo darbību un izmaksu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Projektu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prakse daudzdzīvokļu dzīvojamo māju energoefektivitātes paaugstināšanas programmās, tai skaitā arī 1.2.1.1.i. investīcijas ietvaros, paredz, ka pilnvarotā persona piesakās finansējuma saņemšanai pie cita finansētāja. Ja attiecināms, tad cits finansētājs izsniedz apliecinājumu. Apliecinājumu izsniedz 20 darbdienu laikā no pilnvarotās personas pieteikuma un citu nepieciešamo dokumentu iesniegšanas cita finansētāja aizdevuma saņemšanai. Ja cits finansētājs nesniedz apliecinājumu 20 darbdienu laikā no šo dokumentu saņemšanas, uzskatāms, ka cits finansētājs ir apliecinājis, ka dzīvokļu īpašnieki var pieteikties aizdevumam sabiedrībā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Izaugsmes, konkurētspējas un produktivitātes  (IKP) tematiskās komitejas 2023.gada 17.augusta sēdē tika nolemts, ka, lai veicinātu finansējuma pieejamību Latvijā, sabiedrības "Altum" īstenotās atbalsta programmās nav nepieciešams saņemt cita finansētāja atteikumu, lai saņemtu sabiedrības "Altum" aizdevumu. Ņemot vērā iepriekš pausto, ir nepieciešams rast vienlīdzīgu pieeju ar citām sabiedrības "Altum" īstenotām atbalsta programmām un šo noteikumu projekta ietvaros neparedzēt cita finansētāja apliecinājumu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1.2.1.1.i. investīcijas ietvaros mazāk kā 10% projektus finansē citi finansētāji. Ja viens kreditors finansē projektu, tad cits kreditors nefinansēs viena rēķina citas izmaksas, piemēram, PVN. Līdz ar to prasība pēc cita finansētāja izziņas ir administratīvais slogs iedzīvotājiem un citiem finansētājiem.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Sabiedrības "Altum" aizdevums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izvērtē dzīvokļu īpašnieku aizdevuma atmaksāšanas iespējas, balstoties uz sabiedrības "Altum" iekšējiem noteikumiem, kuri būs saskaņā ar šo noteikumu prasībām,  ņemot vērā tostarp projekta izmaksas un finansēšanas avotus, risku analīzi, aizdevuma atmaksas nosacījumus, paredzamos aizdevuma maksājumus, kredītrisku un kredītvēsturi, kā arī citus aspektus, pēc līdzīgiem principiem kā to veic privātā sektora 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atbalsta piešķiršanas dienu dzīvokļu īpašniekiem uzskatāma diena, kad sabiedrība “Altum” pieņem lēmumu par aizdevuma vai garantijas piešķiršanu, kurā ir noteikts atbalsta maksimālais apjoms un maksimālā pieejamā kapitāla atlaide, tai skaitā par atbalstu tehniskās dokumentācijas piešķiršanai. Sabiedrības "Altum" lēmums nav administratīvs akts. Aizdevumu, t.sk., kapitāla atlaidi vai paralēlo aizdevumu, t.sk., kapitāla atlaidi sniedz sabiedrība "Altum", noslēdzot ar komersantu civiltiesisku līgumu. Garantijas piešķiršanas gadījumā sabiedrība “Altum” slēdz civiltiesisku līgumu par kapitāla atlaides saņemšanas nosacījumiem garantētajam aizdevumam.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veicēja novērtēšanu pēc iekšējās kredītreitinga sistēmas veic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Sabiedrības "Altum" garantijas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garantijas apmērs ir ierobežots (80% no aizdevuma) gan saskaņā ar de minimis regulā paredzēto nosacījumu, kad atbalstu garantiju veidā uzskata par pārredzamu de minimis atbalstu, gan ņemot vērā Komisijas paziņojumā par EK līguma 87. un 88. panta piemērošanu valsts atbalstam garantiju veidā noteikto, tādējādi visās Altum programmās piemēro principu, ka garantija tiek ierobežota ar % no aizdevuma summas. Tāpat šāds ierobežojums ir noteikts, lai nodrošinātu, ka arī komercbankas uzņemas daļu riska par to finansētajiem darījumiem. Garantijas maksimālā summa tiek ierobežota, gan ievērojot de minimis regulā noteiktos ierobežojumus, gan ievērojot visās Altum programmās piemēroto principu, ka tiek noteikts maksimālais darījuma/projekta apjoms, arī atbilstoši programmu riska novērtējumam. Vienlaikus skaidrojam, ka līdz šim īstenotajās atbalsta programmās daudzdzīvokļu dzīvojamo māju energoefektivitātes paaugstināšanai nav bijuši projekti, kuriem garantijas maksimālās summas ierobežojums būtu problemātisks un ka tāpēc projekts netiktu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Altum garantijas, valsts atbalsts nebūs kredītiestāžu līmenī, jo finansiālās priekšrocības tiks nodotas aizdevumu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garantijas likme ir 80% no kredītu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līgumu ar Altum varēs slēgt ikviena kredītiestāde, kas vēlas kreditēt daudzdzīvokļu māju energoefektivitātes projektus un noslēgs ar sabiedrību “Altum” sadarbības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finansiālās priekšrocības kredītiestāde nodos kredītu ņēmējiem pieejamāka finanšu pakalpojumu veidā, līdz ar to aizdevumu likme būs zemāka, nekā citiem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kredītiestāde uzņemsies risku katra darījuma līmenī vismaz 20%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garantija tiks izmaksāta tikai atbilstoši faktiskajam pamatsummas atlikumam (netiks segtas citas kredītiestāžu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priekšrocības kredītiestāžu līmenī tiks izslēgtas, nodrošinot atklātu, pārredzamu, nediskriminējošu kredītiestāžu pieteikšanos; kredītiestādes veidos jaunus aizdevumu portfeļus no saviem resursiem; kredītiestādes risks katram darījumam nebūs mazāks par 20%. Līgumi tiks noslēgti ar vairākām kredītiestādēm, tādēļ kredītiestādes savstarpēji konkurēs ar aizdevuma procentu likmi un citām pakalpojuma atšķirībām.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piešķirs garantijas kredītiestāžu izsniegtajiem aizdevumiem dzīvokļu īpašniekiem energoefektivitātes paaugstināšanas projektu īstenošanai. Aizdevumiem, kuriem tiks piešķirtas garantijas, attiecināmās izmaksas un projektu īstenošanas nosacījumi ir tādi paši kā sabiedrības “Altum” izsniegtajiem aizdevumiem un kā noteikts šo noteikumu projektā. Garantiju varēs saņemt par aizdevumu attiecināmajām izmaksām un, ja kredītiestāde izsniegs aizdevumu arī  izmaksām, kas nav attiecināmas finansēšanai no EAF, piemēram, PVN vai teritorijas labiekārtošanas izmaksām, par šīm izmaksām garantija netiks piešķirta un tās jānošķir atsevišķā aizdevumā. Kredītiestādēm būs jānodrošina, ka ir izsekojami no aizdevuma veiktie maksājumi un nodalāmas projekta attiecināmās izmaksas un izmaksas, kas nav attiecināmas finansēšanai no EAF.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var pagarināt garantijas termiņu, nepārsniedzot noteikumos noteikto 20 gadu termiņu,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garantija tiek piešķirta bez de minimis atbalsta, tad to piešķir uz laiku, kas nepārsniedz 20 gadus (maksimālais termiņš, kas noteikts noteikumu projektā), taču, ja garantijas pieteikumā pieprasītā garantija tiek pieprasīta uz īsāku laiku, to piešķir uz īsāku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garantiju piešķir mājai, kur ir de minimis atbalsta saņēmēji, to piešķir uz de minimis regulā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sākotnējās garantijas termiņš ir bijis mazāks par 20 gadiem, sabiedrība "Altum" var pagarināt garantijas termiņu saskaņā ar MK noteikumu projektā noteikto, taču nekādā gadījumā nepārsniedzot noteikumos noteikto 20 gadu termiņu un ievērojot de minimis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atbalsta saņēmēji ir dzīvokļu īpašnieki, kuru dzīvokļa īpašums tiek izmantots saimnieciskajā darbībā un dzīvokļa īpašnieki pretendē uz atbalstu, kas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saņēmēji ir tikai fiziskas vai juridiskas personas, kas savu nekustamo īpašumu izmanto saimnieciskās darbības veikšanai, kam atbalsts 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sniedz saskaņā ar Eiropas Komisijas 2023. gada 13. decembra Regulu (ES) Nr. 2023/2831 par Līguma par Eiropas Savienības darbību 107. un 108. panta piemērošanu de minimis atbalstam (turpmāk – regula Nr. 2023/2831) un normatīvajiem aktiem par de minimis atbalsta uzskaites un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saimniecisko darbību nav uzskatāma daudzdzīvokļu mājā esošo: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*neprivatizēto pašvaldībām piederošo dzīvokļu izīrēšana, biedrību un nodibinājumu īpašumā esošu dzīvokļu izīrēšana, īres tiesisko attiecību uzsākšana vai dzīvokļu uzturēšana, lai tos izīrētu atbilstoši vienam no šādiem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palīdzību dzīvokļa jautājumu risināšanā", izņemot šā likuma III1 nodaļai “Dzīvojamo telpu izīrēšana kvalificētiem speciālistiem”, kura kvalificējās kā pašvaldības saimnieciskā darbība un attiecīgi ir jāvērtē atbilstoši komercdarbības atbalsta kontroles normām un jāpiemēro attiecīgais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*nedzīvojamo platību iznomāšana vai nodošana lietošanā pašvaldības vai valsts deleģēto pārvaldes uzdevumu veikšanai saskaņā ar normatīvajiem aktiem par publiskas personas finanšu līdzekļu un mantas izšķērdēšanas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*nedzīvojamo platību izmantošana pašvaldības vai valsts funkciju nodrošināšanai, tai skaitā, ja funkciju nodrošināšanas ietvaros tiek sniegti maksas pakalpojumi, vai sabiedriskā labuma organizāciju lietošanai, ja tās netiek izmantotas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ieviešanas modelim piedāvāti dažādi alternatīvi risinājumi un tie tiek apspriesti  ar nozares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sniegts daudzdzīvokļu dzīvojamo māju dzīvokļu īpašniekiem, kuru sniedz aizdevuma vai garantijas, kapitāla atlaides aizdevuma pamatsummas daļējai dzēšanai, un tehniskās palīdzības tehniskās dokumentācijas izstrādei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Noteikumu projekta tiesiskais regulējums nemaina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vietējo būvmateriālu pieprasījums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7 659 817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12 766 362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5 106 545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7 659 817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12 766 362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5 106 545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-7 659 817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-12 766 362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-5 106 545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-7 659 817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-12 766 362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-5 106 545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-5 106 545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51965447 euro, kuru 85% apmērā veido ES fondu finansējums (ieskaitot elastības finansējumu) un 15% nacionālais līdzfinansējums.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pieteikšanās uz 2.1.1.1. investīcijai pieejamo finansējumu būtu iespējama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nepieciešams finansējums Ministru kabineta 2016. gada 15. marta noteikumu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 ietvaros otrā posmā īstenoto projektu finansēšanai 3 000 000 euro apmērā, t.sk. 450 000 euro apmērā no nacionālā līdzfinansējuma.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 investīcijas finansējuma apguve tiek plānota otrajā gadā, t.i. 2026. gadā 30 % apmērā no pieejamā finansējuma, kas būtu 51 065 447 euro, t.sk. 7 659 817 euro apmērā no nacionālā līdzfinanasējuma – apstiprināto projektu attiecināmo izdevumu apjoms. Savukārt vislielākā aktivitāte un apguve plānota 2027. gadā 50 % apmērā, nodrošinot projektu apstiprināšanu un līgumu slēgšanu 85 109 078 euro apmērā, t.sk. 12 766 362 euro apmērā no nacionālā līdzfinansējuma.  2028. gadā plānotais finansējums – 20 % no kopējā finansējuma, t.i. 34 043 631 euro, t.sk. 5 106 545 euro apmērā no nacionālā līdzfinansējuma.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 investīcijas izdevumu attiecināmības termiņš ir līdz 2029. gada 31. decembrim.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Nr. 2023/2831 par Līguma par Eiropas Savienības darbību 107. un 108. panta piemērošanu de minimis atbalstam (Eiropas Savienības Oficiālais Vēstnesis, 2013. gada 24. decembris, Nr. L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18. jūnija Regulas (ES) 2020/852 par regulējuma izveidi ilgtspējīgu ieguldījumu veicināšanai un ar ko groza regulu (ES) 2019/2088 (Eiropas Savienības Oficiālais Vēstnesis, 2020. gada 22. jūnijs, Nr. L 198/13)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Nr. 2023/2831 par Līguma par Eiropas Savienības darbību 107. un 108. panta piemērošanu de minimis atbalstam (Eiropas Savienības Oficiālais Vēstnesis, 2013. gada 24. decembris, Nr. L 352)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6. panta 3.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1. panta 1. punkta "a", "b", "c" vai "d"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 gada 18. jūnija Regulas (ES) 2020/852 par regulējuma izveidi ilgtspējīgu ieguldījumu veicināšanai un ar ko groza regulu (ES) 2019/2088 (Eiropas Savienības Oficiālais Vēstnesis, 2020. gada 22. jūnijs, Nr. L 198/13)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2020. gada 18. jūnija Regulas (ES) 2020/852 par regulējuma izveidi ilgtspējīgu ieguldījumu veicināšanai un ar ko groza regulu (ES) 2019/2088, 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izsludināts sabiedriskajai apspriešanai, pēc kuras norises tiks papildināta šī sadaļa.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2.1.1.1. pasākumu tiks sekmēta viena no Nacionālā attīstības plāna mērķu izpildēm: esošais dzīvojamais fonds līdz 2050. gadam atbilstu augstiem energoefektivitātes, būvniecības, drošības un labiekārtotības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māju energoefektivitātes paaugstināšanas pasākumi labvēlīgi ietekmē pašvaldību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samazināts enerģijas patēriņš, būvniecībā tiek izmantoti energoefektīvi materiāli.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līdz 2029.gada 31.decembrim kopējais primārās enerģijas samazinājums daudzdzīvokļu mājās ar uzlabotu energoefektivitāti ir vismaz 78 346 905 kWh/gadā.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24-TA-1254</w:t>
    </w:r>
    <w:r>
      <w:br/>
    </w:r>
    <w:r w:rsidR="00000000" w:rsidRPr="00000000" w:rsidDel="00000000">
      <w:rPr>
        <w:rtl w:val="0"/>
      </w:rPr>
      <w:t xml:space="preserve">Izdrukāts 29.07.2026. 22.01 - 1.0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24-TA-1254</w:t>
    </w:r>
    <w:r>
      <w:br/>
    </w:r>
    <w:r w:rsidR="00000000" w:rsidRPr="00000000" w:rsidDel="00000000">
      <w:rPr>
        <w:rtl w:val="0"/>
      </w:rPr>
      <w:t xml:space="preserve">Izdrukāts 29.07.2026. 22.01 - 1.0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anotācija_(ex_ante)_24-TA-1254.docx</dc:title>
</cp:coreProperties>
</file>

<file path=docProps/custom.xml><?xml version="1.0" encoding="utf-8"?>
<Properties xmlns="http://schemas.openxmlformats.org/officeDocument/2006/custom-properties" xmlns:vt="http://schemas.openxmlformats.org/officeDocument/2006/docPropsVTypes"/>
</file>