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Likuma par budžeta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kārtību, kādā tiek īstenots Eiropas Savienības Atveseļošanas un noturības mehānisma plāna 2.2. reformu un investīciju virziena “Uzņēmumu digitālā transformācija un inovācijas” 2.2.1.5.i. investīcijas “Mediju nozares uzņēmumu digitālās transformācijas veicināšana” pasākums “Mācības mediju nozares speciālistu digitālās kompetences un zināšanu pilnveidošanai”, nosakot tiesības gala labuma guvējam veikt izmaksas arī pašam un atbilstoši precizēt komercdarbības atbalsta piešķiršanu saistītos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28. aprīļa rīkojumu Nr. 292 “Par Latvijas Atveseļošanas un noturības mehānisma plānu” apstiprināts Latvijas Atveseļošanas un noturības mehānisma plāns, paredzot 2.2. reformas un investīciju virziena “Uzņēmumu digitālā transformācija un inovācijas” 2.2.1.5.i. investīcijas “Mediju nozares uzņēmumu digitālās transformācijas veicināšana” (turpmāk – 2.2.1.5.i. investīcija) ietvaros atbalstu mediju uzņēmumu tehnoloģisko risinājumu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Kopējais Eiropas Savienības Atveseļošanas un noturības mehānisma plāna 2.2. reformu un investīciju virziena “Uzņēmumu digitālā transformācija un inovācijas” 2.2.1.5.i. investīcijas finansējums ir 13 100 000 </w:t>
      </w:r>
      <w:r w:rsidR="00000000" w:rsidRPr="00000000" w:rsidDel="00000000">
        <w:rPr>
          <w:i w:val="1"/>
          <w:rtl w:val="0"/>
        </w:rPr>
        <w:t xml:space="preserve">euro</w:t>
      </w:r>
      <w:r w:rsidR="00000000" w:rsidRPr="00000000" w:rsidDel="00000000">
        <w:rPr>
          <w:rtl w:val="0"/>
        </w:rPr>
        <w:t xml:space="preserve">, kuru plānots piešķirt, īstenojot divus pasākumus ar šādu finansējuma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- 2 000 000 </w:t>
      </w:r>
      <w:r w:rsidR="00000000" w:rsidRPr="00000000" w:rsidDel="00000000">
        <w:rPr>
          <w:i w:val="1"/>
          <w:rtl w:val="0"/>
        </w:rPr>
        <w:t xml:space="preserve">euro </w:t>
      </w:r>
      <w:r w:rsidR="00000000" w:rsidRPr="00000000" w:rsidDel="00000000">
        <w:rPr>
          <w:rtl w:val="0"/>
        </w:rPr>
        <w:t xml:space="preserve">Eiropas Savienības Atveseļošanas un noturības mehānisma plāna 2.2. reformu un investīciju virziena “Uzņēmumu digitālā transformācija un inovācijas” 2.2.1.5.i. investīcijas pasākuma “Mācības mediju nozares speciālistu digitālās kompetences un zināšanu pilnveidošanai”” (turpmāk – pasākums)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- 11 100 000 </w:t>
      </w:r>
      <w:r w:rsidR="00000000" w:rsidRPr="00000000" w:rsidDel="00000000">
        <w:rPr>
          <w:i w:val="1"/>
          <w:rtl w:val="0"/>
        </w:rPr>
        <w:t xml:space="preserve">euro </w:t>
      </w:r>
      <w:r w:rsidR="00000000" w:rsidRPr="00000000" w:rsidDel="00000000">
        <w:rPr>
          <w:rtl w:val="0"/>
        </w:rPr>
        <w:t xml:space="preserve">Eiropas Savienības Atveseļošanas un noturības mehānisma plāna 2.2. reformu un investīciju virziena “Uzņēmumu digitālā transformācija un inovācijas” 2.2.1.5.i. investīcijas pasākuma “Mediju nozares uzņēmumu procesu modernizēšana”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2.2.1.5.i. investīcijas ietvaros plānotā ietekme uz Padomes īstenošanas lēmuma (CID) rādītāju Nr. 54 “Atbalstīto projektu skaits”: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- 2.2.1.5.i. investīcijas pasākuma “Mediju nozares uzņēmumu procesu modernizēšana” ietvaros ir noslēgti 27 līgumi par projektu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- 2.2.1.5.i. investīcijas pasākuma ietvaros ir noslēgts 1 līgums par projekta īstenošanu.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22. februārī stājās spēkā Ministru kabineta 2024. gada 20. februāra noteikumi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(turpmāk – Noteikumi Nr. 113).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 113 nosaka, ka 2.2.1.5.i. investīcijas pasākuma mērķis ir veicināt mediju nozares digitālo transformāciju, un darbības pielāgošanu mūsdienu mediju patēriņa tendencēm digitālā vidē, vienlaikus vecinot vietējā mediju satura veidotāju ilgtspēju, tādējādi saglabājot plurālistisku mediju tirgu un stiprinot noturību pret dezinformāciju.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digitālo prasmju uzlabošana ir nepieciešama plašākā mediju tirgus dalībnieku lokā, lai saglabātu plurālismu mediju vidē, ir plānots, ka finansējuma saņēmējs sniegs atbalstu vismaz desmit gala labuma guvējiem – mediju uzņēmumiem – digitālās kompetences paaugstināšanai, aptverot vismaz 100 mediju nozares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2.2.1.5.i. investīcijas pasākuma gala labuma guvēji ir mediju nozares asociācijas un uzņēmumi, kurus finansējuma saņēmējs atlasa atklātas atlases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(turpmāk – aģentūra) 2024. gada 20. martā 2.2.1.5.i. investīcijas pasākuma ietvaros izsludināja atklātu projektu iesniegumu atlasi un 2024. gada 31. oktobrī noslēgts līgums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centra darbību paredzēts nodrošināt 2.2.1.5.i. investīcijas pasākuma ietvaros līdz 2026. gada 30. jūnijam.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113 15.4. apakšpunkts nosaka, ka 2.2.1.5.i. investīcijas pasākuma ietvaros finansējuma saņēmējam un sadarbības partnerim attiecināmas ir izmaksas gala labuma guvēju digitālajai attīstībai un projekta mērķu sasniegšanai (saskaņā ar gala labuma guvēja digitālās attīstības plānu) nepieciešamo finansējuma saņēmēja noteikto auditorijas pētījumu risinājumu, informācijas un komunikācijas tehnoloģiju (iekārtas, programmatūra, licence) izstrādes, iegādes, atjaunošanas un modernizēšanas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2024. gada 28. novembra 2.2.1.5.i. investīcijas pasākuma projekta ieviešanas seminārā, projekta iesniedzējam konsultējoties ar aģentūru, tika secināts, ka, lai nodrošinātu auditorijas pētījumu risinājumu, informācijas un komunikācijas tehnoloģiju autortiesību ievērošanu, tai skaitā lai nodrošinātu licenču un iekārtu īpašumtiesības gala labuma guvējiem, licences un iekārtas būtu jāiegādājas pašiem gala labuma guvējiem.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veikt grozījumus Noteikumos Nr. 113, nosakot tiesības gala labuma guvējiem Noteikumu Nr. 113 15.4. apakšpunktā noteiktās izmaksas veikt pašiem gala labuma guvējiem.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Noteikumos Nr. 113 tiek veikti šādi grozījumi: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Nr. 113 15.4. apakšpunkts, nosakot, ka Noteikumu Nr. 113 15.4. apakšpunktā noteiktās izmaksas var veikt arī pats gala labuma guvējs.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ir spēkā no šī Projekta spēkā stāšanās brīža. Veiktie precizējumi veicinās 2.2.1.5.i. investīcijas ietvaros plānoto rādītāju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113 43.</w:t>
      </w:r>
      <w:r w:rsidR="00000000" w:rsidRPr="00000000" w:rsidDel="00000000">
        <w:rPr>
          <w:vertAlign w:val="superscript"/>
          <w:rtl w:val="0"/>
        </w:rPr>
        <w:t xml:space="preserve">1</w:t>
      </w:r>
      <w:r w:rsidR="00000000" w:rsidRPr="00000000" w:rsidDel="00000000">
        <w:rPr>
          <w:rtl w:val="0"/>
        </w:rPr>
        <w:t xml:space="preserve"> punkts, nosakot, ka 43.</w:t>
      </w:r>
      <w:r w:rsidR="00000000" w:rsidRPr="00000000" w:rsidDel="00000000">
        <w:rPr>
          <w:vertAlign w:val="superscript"/>
          <w:rtl w:val="0"/>
        </w:rPr>
        <w:t xml:space="preserve">1</w:t>
      </w:r>
      <w:r w:rsidR="00000000" w:rsidRPr="00000000" w:rsidDel="00000000">
        <w:rPr>
          <w:rtl w:val="0"/>
        </w:rPr>
        <w:t xml:space="preserve"> punktā noteiktie pienākumi attiecas arī uz gala labuma guvēju: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interešu konflikta, korupcijas un krāpšanas un dubultfinansējuma nepieļaušanu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iepirkumu, kas nepieciešams projekta īstenošanai, veikt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Nr. 113 46. punkts, nosakot, ka, ja Noteikumu Nr. 113 15.4. apakšpunktā noteiktā auditorijas pētījumu risinājumu, informācijas un komunikācijas tehnoloģiju (iekārtas, programmatūra, licence) izstrāde, iegāde, atjaunošana un modernizēšana tiek veikta, pakalpojuma iegādi īstenojot atklātā, pārredzamā, nediskriminējošā un konkurenci neierobežojošā procedūrā, atbalsts minēto izmaksu segšanai nav uzskatāms par komercdarbības atbalstu arī gadījumā, ja izmaksas veic pats gala labuma guvējs, nodrošinot, ka plānotās darbības rezultātā iegūtais produkts vai pakalpojums paliks konkrētā gala labuma guvēja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2023. gada 22. augustā saņemtajai Finanšu ministrijas vēstulei Nr. 7-4/18/2544, ar kuru pārsūtīts Eiropas Komisijas Konkurences ģenerāldirektorāta viedoklis, Noteikumu Nr. 113 46. punkta grozījums atbilst izpratnei, kas panākta konsultācijās ar Eiropas Komisijas pārstāvjiem, ka Kultūras ministrijas plānotie atbalsta pasākumi gala labuma guvējiem – reģionālajiem medijiem un ziņu medijiem (gan interneta platformās bāzētiem, gan drukātā veidā iznākošiem) nav uzskatāms par valsts atbalstu Līguma par Eiropas Savienības darbību 107. panta pirmās daļas izpratnē. Attiecīgi Noteikumi Nr. 113 nosaka, ka Noteikumu Nr. 113 15.4. apakšpunktā noteiktās izmaksas gala labuma guvējam nav uzskatāmas par valsts atbalstu Līguma par Eiropas Savienības darbību 107. panta pirmās 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30. septembrī stājusies spēkā Eiropas Parlamenta un Padomes 2024. gada 23. septembra Regula (ES, Euratom) 2024/2509 par finanšu noteikumiem, ko piemēro Savienības vispārējam budžetam (pārstrādāta redakcija), Noteikumu Nr. 113 42.3., 43.3. un 43.16.1. apakšpunktos veikti tehniski precizējumi, norādot atsauci uz aktuālo regulu.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spēkā stāšanās Centrālā finanšu un līgumu aģentūra informēs finansējuma saņēmēju par veiktajiem grozījumiem Noteikumos Nr. 113, vienlaikus izvērtējot nepieciešamību veikt grozījumu līgumā par projekta īstenošanu.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2.2.1.5.i. investīcijas pasākuma ietvaros paredzētais atbalsts mediju nozares uzņēmumiem, to darbiniekiem un mediju nozares speciālistiem veicinās to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2.2.1.5.i. investīcijas pasākuma ietvaros sniegtais atbalsts veicinās mediju nozares uzņēmumu digitālo transformāciju, kas nodrošinās to konkurētspēju. Tā rezultātā tiks veicināts Latvijas mediju vides plurālisms, kas ir viens no mediju politikas sasniedzamajiem mērķiem. Jaunu zināšanu un tehnoloģiju ieviešana mediju darbība veicinās nozares produktivitāti, rezultātā ar zemākām izmaksām radot galaproduktu. Vienlaikus tiks veicināta mediju nozarē strādājošo konkurētspēja, ņemot vērā, ka tiks uzlabotas prasmes darbam ar jaunākām tehnoloģijām. Investīcijas mediju, tai skaitā nozares speciālistu, digitālajā transformācijā veicinās to konkurētspēju ar ārvalstu pakalpojumu sniedzējiem, tādējādi nodrošinot papildu nodokļu ieņēmumus valsts budžetā.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2.2.1.5.i. investīcijas pasākuma ietvaros atbalstāmās darbības ļaus uzlabot mediju nozarē nodarbināto digitālās prasmes, tādējādi paaugstinot produktivitāti.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Regulas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Regulas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42.3. un 43.16.1.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43.3.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nodrošināta Noteikumu Nr. 113 izstrādes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2.2.1.5.i. investīcijas pasākums būtiski sekmē klimata pārmaiņu mazināšanas mērķi saskaņā ar Taksonomijas regulas 10. panta pirmās daļas “c” apakšpunktā minēto darbību “Palielināt videi nekaitīgu vai klimatneitrālu mobilitāti” sasniegšanu, ko atbalsta infrastruktūras ieguldījumi platjoslas infrastruktūras izveidē, kas nodrošina pakalpojumu saņemšanu e-vidē.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2.2.1.5.i. investīcijas pasākums būtiski sekmē klimata pārmaiņu mazināšanas mērķi saskaņā ar Eiropas Parlamenta un Padomes Regulas (ES) 2020/852 (2020. gada 18. jūnijs) par regulējuma izveidi ilgtspējīgu ieguldījumu veicināšanai un ar ko groza Regulu (ES) 2019/2088 10. panta pirmās daļas “c” apakšpunktā minēto darbību “Palielināt videi nekaitīgu vai klimatneitrālu mobilitāti” sasniegšanu, ko atbalsta ieguldījumi, kas nodrošina pakalpojumu saņemšanu e-vidē.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Principa “Nenodarīt būtisku kaitējumu” 2.2.1.5.i. investīcijas novērtējumā norādīts, ka nav tikusi konstatēta negatīva ietekme uz vidi. Finansējuma saņēmēja un projekta īstenotāja pienākums ir izvērtēt un nodrošināt, ka visi principa “Nenodarīt būtisku kaitējumu” nosacījumi tiek ievēroti.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ņemot vērā konkrēto darbību specifiku, tiks izvērtēta iespēja iekļaut darbības, kas veicinās dzimumu līdztiesību,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informācijas un publicitātes aktivitātes, to saturs tiks rūpīgi izvērtēts un tiks izvēlēta valoda un vizuālie tēli, kas mazina diskrimināciju un stereotipu veidošanos vai uzturēšanu par kādu no dzimumiem, personām ar invaliditāti, reliģisko pārliecību, vecumu, rasi un etnisko izcelsmi vai seksuālo orientāciju (skat. metodisko materiālu “Ieteikumi diskrimināciju un stereotipus mazinošai komunikācijai ar sabiedrību”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tiks nodrošināta bez jebkādas tiešas vai netiešas diskriminācijas;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īstenotāji, īstenojot kompetenču centra darbību, nodrošina vienlīdzīgu darba samaksu par vienādas vērtības darbu sievietēm un vīriešiem.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w:t>
    </w:r>
    <w:r>
      <w:br/>
    </w:r>
    <w:r w:rsidR="00000000" w:rsidRPr="00000000" w:rsidDel="00000000">
      <w:rPr>
        <w:rtl w:val="0"/>
      </w:rPr>
      <w:t xml:space="preserve">Izdrukāts 29.07.2026. 23.44 - 2.0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25-TA-279</w:t>
    </w:r>
    <w:r>
      <w:br/>
    </w:r>
    <w:r w:rsidR="00000000" w:rsidRPr="00000000" w:rsidDel="00000000">
      <w:rPr>
        <w:rtl w:val="0"/>
      </w:rPr>
      <w:t xml:space="preserve">Izdrukāts 29.07.2026. 23.44 - 2.0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anotācija_(ex_ante)_25-TA-279.docx</dc:title>
</cp:coreProperties>
</file>

<file path=docProps/custom.xml><?xml version="1.0" encoding="utf-8"?>
<Properties xmlns="http://schemas.openxmlformats.org/officeDocument/2006/custom-properties" xmlns:vt="http://schemas.openxmlformats.org/officeDocument/2006/docPropsVTypes"/>
</file>