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"Nacionālo bruņoto spēku militārā lidlauka "Lielvārde"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 apstiprina Likumā par budžetu un finanšu vadību (turpmāk – Budžeta likums) noteiktajā kārtībā. Budžeta likuma 5. panta devītā daļa nosaka Ministru kabinetam izdot noteikumus par valsts tiešās pārvaldes iestāžu sniegto maksas pakalpojumu cenrāžu apstiprināšanu.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“Nacionālo bruņoto spēku militārā lidlauka “Lielvārde” maksas pakalpojumu cenrādis” (turpmāk – projekts) nosaka militārā lidlaukā “Lielvārde” sniegto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Attīstot sadarbību ar civilās aviācijas pārstāvjiem militārā lidlauka “Lielvārde” izmantošanā (turpmāk - lidlauks), tiek paplašinātas lidlauka izmantošanas iespējas (gan treniņlidojumu, gan rezerves lidlauka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tika izstrādāts, ievērojot: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2011. gada 3. maija noteikumu Nr.333 “Kārtība, kādā plānojami un uzskaitāmi ieņēmumi no maksas pakalpojumiem un ar šo pakalpojumu sniegšanu saistītie izdevumi, kā arī maksas pakalpojumu izcenojumu noteikšanas metodika un izcenojumu apstiprināšanas kārtība”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Starptautiskās civilās aviācijas organizācijas (</w:t>
      </w:r>
      <w:r w:rsidR="00000000" w:rsidRPr="00000000" w:rsidDel="00000000">
        <w:rPr>
          <w:i w:val="1"/>
          <w:rtl w:val="0"/>
        </w:rPr>
        <w:t xml:space="preserve">The International Civil Aviation Organization</w:t>
      </w:r>
      <w:r w:rsidR="00000000" w:rsidRPr="00000000" w:rsidDel="00000000">
        <w:rPr>
          <w:rtl w:val="0"/>
        </w:rPr>
        <w:t xml:space="preserve"> – turpmāk ICAO) izstrādātos noteikumus par maksas noteikšanu lidostu un aeronavigācijas pakalpojumiem [1]. ICAO tiek uzskaitīti izdevumu posteņi, kuri jāņem vērā nosakot pakalpojumu cenas lidostu pakalpojumiem. Līdz ar to nolaišanās un treniņlidojumu izmaksās tika iekļauti izdevumi par nosēšanās skrejceļu (tā atjaunošanu), satiksmes kontroli (komunikācija un sakari), navigācijas, nosēšanās atbalsta pakalpojumiem, meteoroloģiju, ugunsdrošību;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civilo lidlauku maksas pakalpojumu cenrāžos noteiktās cenas par līdzīgiem pakalpojumiem (t.sk. treniņlidojumiem) gan lidlaukiem Latvijā [2], gan citās Baltijas [3] 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aprēķinātu maksas pakalpojuma izcenojumu, tiek vērtēti tiešie un netiešie izdevumi, kas saistīti ar pakalpojuma sniegšanu, ņemot vērā pieejamo finansējumu gan uzturēšanas izdevumiem, gan kapitālajiem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aprēķinātu maksas pakalpojuma izcenojumu, tiek vērtēti tiešie un netiešie izdevumi, kas saistīti ar pakalpojuma sniegšanu, ņemot vērā pieejamo finansējumu gan uzturēšanas izdevumiem, gan kapitālajiem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ICAO principus - par pamatu aprēķiniem ņemti izdevumi  NBS Aviācijas bāzes "Lielvārde" SLNE uzturēšanas izmaksas 2020. gadā. Lidlauks (skrejceļš) ir jāuztur lietošanas kārtībā militāro uzdevumu veikšanai visu gadu 24/7 nemainīgā kvalitātē – tas nosaka netiešo izdevumu pozīcijas un apmēru. Civilo gaisa kuģu nolaišanās un treniņlidojumu veikšanai neveidojas tiešās izmaksas. Arī cilvēki netiek speciāli pieņemti darbā un algoti, lai uzņemtu civilos gaisa kuģus, jo darbs tiks veikts neatkarīgi no tā. Tas nozīmē, ka tiešo izmaksu nav, kā arī personāla izdevumus nevar attiecināt uz šo pakalpojumu nodrošināšanu, jo atlīdzība Nacionālajos bruņotajos spēkos tiek noteikta centralizēti atbilstoši dienesta gaitai un noteikt atlīdzības apmēru konkrētas funkcijas veikšanai nav iespējams.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iepriekšminēto, tiek noteiktas kopējās izmaksas, kas ir pamats sekojošu maksas pakalpojumu izcenojumu noteikšanai (detalizēts maksas pakalpojuma izcenojuma aprēķins ar paskaidrojumiem iekļauts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skrejceļa (lidlauka) izmantošanu/maksa par gaisa 1. kuģu nosēšanos un pacelšanos (stunda/pacelšanas)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skrejceļa (lidlauka) izmantošana mācību lidojumiem/treniņlidojumiem gaisa kuģiem pa tonnāžas grupām (stundā):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 līdz 2 bruto tonnām (vispārējas nozīmes gaisa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 no 3 līdz 100 bruto tonnām (šauras fizelāžas gaisa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 no 101 bruto tonnām (platas fizelāžas gaisa kuģi).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lidojumiem cenas aprēķinā tiek piemērots koeficients 0.7, kas noteikts, ņemot vērā vispārējo praksi, nosakot izcenojumus treniņlidojumiem pārējos lidlaukos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treniņlidojumu izcenojumu noteikšanai tiek piemēroti koeficienti atkarībā no gaisa kuģu svara. Tiek noteiktas trīs grupas, kurām koeficienti tiek aprēķināti, ņemot vērā intervālu augšējās robežas (detalizēts aprēķins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lidlauka noslodzi, paredzēts, ka lidlauks civilo gaisa kuģu vajadzībām (šobrīd pamatā treniņlidojumiem) tiks izmantots 2.5 % no kopējā laika, kas ir aptuveni 220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ICAO’s Policies on Charges for Airports and Air Navigation Services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Lidosta Rīga: https://www.riga-airport.com/business-to-business/rix-airport-charges/en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RIX regulē MK noteikumi: https://likumi.lv/ta/id/289090-noteikumi-par-valsts-akciju-sabiedribas-starptautiska-lidosta-riga-lidlauka-sniegto-pakalpojumu-maksu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Lidosta Liepāja: https://liepaja-airport.lv/content/uploads/Tabula_LAT1.pdf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Lidosta Ventspils: http://airport.ventspils.lv/par-lidostu/pakalpojumu-izcenojumi/;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Lidosta Spilve: https://www.spilve.org/?p=1&amp;pp=2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Lidosta Tallina: https://www.tallinn-airport.ee/en/partners/aviation-marketing/airport-charges-and-incentives/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Lidostas Lietuvā (Kauņa, Viļņa, Palanga): https://www.ltou.lt/en/aviation/airport-charges-and-general-terms-conditions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izcenojums noteikts atbilstoši atbilstoši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prasībām. Izvērtēti minētā maksas pakalpojuma veida nodrošināšanai nepieciešamie tiešie izdevumi un secināts, ka šādu izdevumu nav. Par pamatu aprēķiniem ņemtas netiešās izmaksas. To nosaka apstāklis, ka tas ir militārais lidlauks un tā darbība jānodrošina neatkarīgi no tā – vai civilie gaisa kuģi nolaižas un veic treniņlidojumus, vai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projekta un projekta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pielikumā - “Nacionālo Bruņoto spēku militārā lidlauka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“Lielvārde”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anotācijas pielikumā - “Nacionālo Bruņoto spēku militārā lidlauka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“Lielvārde” maksas pakalpojumu izcenojumu aprēķinu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anotācijas pielikumā - “Ieņēmumu prognoze no maksas pakalpojuma”;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anotācijas pielikumā – “Maksas pakalpojumu izcenojumu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Ieņēmumi no maksas pakalpojumiem tiek plānoti Aizsardzības ministrijas budžeta apakšprogrammā 22.12.00 „Nacionālo bruņoto spēku uzturēšana” un tiks izlietoti izdevumu, kas saistīti ar maksas pakalpojuma sniegšanu,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pielikumā  “Ieņēmumu prognoze no maksas pakalpojuma”.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pielikumā  “Maksas pakalpojumu izcenojumu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bruņoto spēku Apvienotais štābs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22-TA-389</w:t>
    </w:r>
    <w:r>
      <w:br/>
    </w:r>
    <w:r w:rsidR="00000000" w:rsidRPr="00000000" w:rsidDel="00000000">
      <w:rPr>
        <w:rtl w:val="0"/>
      </w:rPr>
      <w:t xml:space="preserve">Izdrukāts 29.07.2026. 23.08 - 1.0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22-TA-389</w:t>
    </w:r>
    <w:r>
      <w:br/>
    </w:r>
    <w:r w:rsidR="00000000" w:rsidRPr="00000000" w:rsidDel="00000000">
      <w:rPr>
        <w:rtl w:val="0"/>
      </w:rPr>
      <w:t xml:space="preserve">Izdrukāts 29.07.2026. 23.08 - 1.0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anotācija_(ex_ante)_22-TA-389.docx</dc:title>
</cp:coreProperties>
</file>

<file path=docProps/custom.xml><?xml version="1.0" encoding="utf-8"?>
<Properties xmlns="http://schemas.openxmlformats.org/officeDocument/2006/custom-properties" xmlns:vt="http://schemas.openxmlformats.org/officeDocument/2006/docPropsVTypes"/>
</file>