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8. janvāra noteikumos Nr. 9 "Lauksaimniecības, zivsaimniecības un lauku attīstības garantiju programmas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primārās lauksaimniecības produkcijas ražotāji ir pakļauti nelabvēlīgu klimatisko apstākļu izraisītiem ražošanas riskiem, kas radījuši būtisku ieņēmumu samazinājumu un izraisījuši likviditātes grūtības saimnieciskās darbības veicējiem.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pamatojoties uz lauksaimnieku nevalstisko organizāciju ierosinājumiem, pilnveidot akciju sabiedrības "Attīstības finanšu institūcija Altum"(turpmāk – ALTUM) aizdevumu un garantiju programmas, kas skatīti Saeimas Latgales apakškomisijas 2026.gada 4.marta sēdē un Lauksaimniecības konsultatīvās padomes 2026.gada 17.marta sēdē ir izstrādājusi grozījumus Ministru kabineta 2019. gada 8. janvāra noteikumos Nr. 9 "Lauksaimniecības, zivsaimniecības un lauku attīstības garantiju programmas noteikumi" (turpmāk - noteikumi Nr. 9) paredzot finansējumu garantijām, tai skaitā primārās lauksaimniecības produkcijas ražotājiem aizdevumu restrukturizācijai.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atbalsta pieejamību primārās lauksaimniecības produkcijas ražotājiem un citiem lauku teritoriju uzņēmējiem, kas ievieš atbalsta pasākumus Kopējās lauksaimniecības politikas ietvaros nodrošinot garantijas aizdevumiem nepietiekama nodrošinājuma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noteikumos Nr. 9, lai nodrošinātu atbalsta pieejamību garantijām primārās lauksaimniecības produkcijas ražotājiem un citiem lauku teritoriju uzņēmējiem, kas ievieš atbalsta pasākumus Kopējās lauksaimniecības politikas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zivsaimniecības un lauku attīstības garantiju programmā nepietiekams pieejamais finansējums, lai nodrošinātu atbalsta pieejamību garantijām primārās lauksaimniecības produkcijas ražotājiem un citiem lauku teritoriju uzņēmējiem, kas ievieš atbalsta pasākumus Kopējās lauksaimniecības politikas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 2.5. apakšpunktā veikti grozījumi precizējot Komisijas 2023. gada 13. decembra Regulas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izdošanas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Nr. 9 4.5. apakšpunktu tiek paredzēts finansējums garantiju programmas īstenošanai no Latvijas Lauku attīstības programmas 2014.–2020. gadam īstenošanas pārejas perioda 2021. un 2022. gadā "Lauksaimniecības, lauku un zivsaimniecības saimnieciskās darbības veicēju aizdevumu programma"  atmaksātais finansējums  3 000 000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noteikumu Nr. 9 paredzot, ka 5.</w:t>
      </w:r>
      <w:r w:rsidR="00000000" w:rsidRPr="00000000" w:rsidDel="00000000">
        <w:rPr>
          <w:vertAlign w:val="superscript"/>
          <w:rtl w:val="0"/>
        </w:rPr>
        <w:t xml:space="preserve">2</w:t>
      </w:r>
      <w:r w:rsidR="00000000" w:rsidRPr="00000000" w:rsidDel="00000000">
        <w:rPr>
          <w:rtl w:val="0"/>
        </w:rPr>
        <w:t xml:space="preserve"> Sabiedrības </w:t>
      </w:r>
      <w:r w:rsidR="00000000" w:rsidRPr="00000000" w:rsidDel="00000000">
        <w:rPr>
          <w:i w:val="1"/>
          <w:rtl w:val="0"/>
        </w:rPr>
        <w:t xml:space="preserve">Altum</w:t>
      </w:r>
      <w:r w:rsidR="00000000" w:rsidRPr="00000000" w:rsidDel="00000000">
        <w:rPr>
          <w:rtl w:val="0"/>
        </w:rPr>
        <w:t xml:space="preserve"> kapitāla atdeves segšanai izmanto šajā garantiju programmā šo noteikumu 4. punktā  minēto finansējumu 10 procentu apmērā gadā no sabiedrības</w:t>
      </w:r>
      <w:r w:rsidR="00000000" w:rsidRPr="00000000" w:rsidDel="00000000">
        <w:rPr>
          <w:i w:val="1"/>
          <w:rtl w:val="0"/>
        </w:rPr>
        <w:t xml:space="preserve"> Altum</w:t>
      </w:r>
      <w:r w:rsidR="00000000" w:rsidRPr="00000000" w:rsidDel="00000000">
        <w:rPr>
          <w:rtl w:val="0"/>
        </w:rPr>
        <w:t xml:space="preserve"> kapitāla, kas paredzēts šajos noteikumos minēto finanšu instrumentu kredītriska, operacionālā riska un cita riska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Grozīts noteikumu Nr. 9  šo noteikumu 7.1., 7.2., 7.5.3., 7.5.4. un 7.5.5. apakšpunkts paredzot, ka garantiju piešķiršanai var izmanot arī šo noteikumu 4.5. apakšpunktā minēto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noteikumu Nr. 9 16.</w:t>
      </w:r>
      <w:r w:rsidR="00000000" w:rsidRPr="00000000" w:rsidDel="00000000">
        <w:rPr>
          <w:vertAlign w:val="superscript"/>
          <w:rtl w:val="0"/>
        </w:rPr>
        <w:t xml:space="preserve">1</w:t>
      </w:r>
      <w:r w:rsidR="00000000" w:rsidRPr="00000000" w:rsidDel="00000000">
        <w:rPr>
          <w:rtl w:val="0"/>
        </w:rPr>
        <w:t xml:space="preserve"> punktā, ka garantijas sedz līdz 50 procentiem no kredītiestādes restrukturizēta finanšu pakalpojuma pamatsummas.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 grozījumi paredz, ka saskaņā ar 18.3. apakšpunktu kredītiestāde restrukturizē finanšu pakalpojumu un piesaista šo noteikumu  16.</w:t>
      </w:r>
      <w:r w:rsidR="00000000" w:rsidRPr="00000000" w:rsidDel="00000000">
        <w:rPr>
          <w:vertAlign w:val="superscript"/>
          <w:rtl w:val="0"/>
        </w:rPr>
        <w:t xml:space="preserve">1</w:t>
      </w:r>
      <w:r w:rsidR="00000000" w:rsidRPr="00000000" w:rsidDel="00000000">
        <w:rPr>
          <w:rtl w:val="0"/>
        </w:rPr>
        <w:t xml:space="preserve"> punktā minēto garantiju, ko var piešķirt, ja kopējā šī punkta ietvaros piešķirtā garantiju summa nepārsniedz  750 000 </w:t>
      </w:r>
      <w:r w:rsidR="00000000" w:rsidRPr="00000000" w:rsidDel="00000000">
        <w:rPr>
          <w:i w:val="1"/>
          <w:rtl w:val="0"/>
        </w:rPr>
        <w:t xml:space="preserve">euro </w:t>
      </w:r>
      <w:r w:rsidR="00000000" w:rsidRPr="00000000" w:rsidDel="00000000">
        <w:rPr>
          <w:rtl w:val="0"/>
        </w:rPr>
        <w:t xml:space="preserve">vienam atbalsta saņēmējam un tā saimnieciskās darbības finanšu rādītāji atbilst sabiedrības </w:t>
      </w:r>
      <w:r w:rsidR="00000000" w:rsidRPr="00000000" w:rsidDel="00000000">
        <w:rPr>
          <w:i w:val="1"/>
          <w:rtl w:val="0"/>
        </w:rPr>
        <w:t xml:space="preserve">Altum</w:t>
      </w:r>
      <w:r w:rsidR="00000000" w:rsidRPr="00000000" w:rsidDel="00000000">
        <w:rPr>
          <w:rtl w:val="0"/>
        </w:rPr>
        <w:t xml:space="preserve"> izstrādātajai metodoloģijai. Sabiedrības</w:t>
      </w:r>
      <w:r w:rsidR="00000000" w:rsidRPr="00000000" w:rsidDel="00000000">
        <w:rPr>
          <w:i w:val="1"/>
          <w:rtl w:val="0"/>
        </w:rPr>
        <w:t xml:space="preserve"> Altum</w:t>
      </w:r>
      <w:r w:rsidR="00000000" w:rsidRPr="00000000" w:rsidDel="00000000">
        <w:rPr>
          <w:rtl w:val="0"/>
        </w:rPr>
        <w:t xml:space="preserve"> metodoloģija publicēta sabiedrības </w:t>
      </w:r>
      <w:r w:rsidR="00000000" w:rsidRPr="00000000" w:rsidDel="00000000">
        <w:rPr>
          <w:i w:val="1"/>
          <w:rtl w:val="0"/>
        </w:rPr>
        <w:t xml:space="preserve">Altum</w:t>
      </w:r>
      <w:r w:rsidR="00000000" w:rsidRPr="00000000" w:rsidDel="00000000">
        <w:rPr>
          <w:rtl w:val="0"/>
        </w:rPr>
        <w:t xml:space="preserve">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svītrots noteikumu Nr. 9 20. punkts turpmāk paredzot garantijas piemērot atbilstoši 20.</w:t>
      </w:r>
      <w:r w:rsidR="00000000" w:rsidRPr="00000000" w:rsidDel="00000000">
        <w:rPr>
          <w:vertAlign w:val="superscript"/>
          <w:rtl w:val="0"/>
        </w:rPr>
        <w:t xml:space="preserve">1</w:t>
      </w:r>
      <w:r w:rsidR="00000000" w:rsidRPr="00000000" w:rsidDel="00000000">
        <w:rPr>
          <w:rtl w:val="0"/>
        </w:rPr>
        <w:t xml:space="preserve"> punktā noteiktajam, ka par garantiju piešķiršanu vai pagarināšanu finanšu pakalpojumu finansēšanai piemēro ikgadējo prēmiju līdz 0,5 procentiem no garantijas summas, ikgadējo prēmiju var noteikt augstāku, ja saimnieciskās darbības veicējam ir nepietiekošs valsts atbalsta atlikums.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 21.</w:t>
      </w:r>
      <w:r w:rsidR="00000000" w:rsidRPr="00000000" w:rsidDel="00000000">
        <w:rPr>
          <w:vertAlign w:val="superscript"/>
          <w:rtl w:val="0"/>
        </w:rPr>
        <w:t xml:space="preserve">1</w:t>
      </w:r>
      <w:r w:rsidR="00000000" w:rsidRPr="00000000" w:rsidDel="00000000">
        <w:rPr>
          <w:rtl w:val="0"/>
        </w:rPr>
        <w:t xml:space="preserve">1., 21.</w:t>
      </w:r>
      <w:r w:rsidR="00000000" w:rsidRPr="00000000" w:rsidDel="00000000">
        <w:rPr>
          <w:vertAlign w:val="superscript"/>
          <w:rtl w:val="0"/>
        </w:rPr>
        <w:t xml:space="preserve">1</w:t>
      </w:r>
      <w:r w:rsidR="00000000" w:rsidRPr="00000000" w:rsidDel="00000000">
        <w:rPr>
          <w:rtl w:val="0"/>
        </w:rPr>
        <w:t xml:space="preserve">2. un 21.</w:t>
      </w:r>
      <w:r w:rsidR="00000000" w:rsidRPr="00000000" w:rsidDel="00000000">
        <w:rPr>
          <w:vertAlign w:val="superscript"/>
          <w:rtl w:val="0"/>
        </w:rPr>
        <w:t xml:space="preserve">1</w:t>
      </w:r>
      <w:r w:rsidR="00000000" w:rsidRPr="00000000" w:rsidDel="00000000">
        <w:rPr>
          <w:rtl w:val="0"/>
        </w:rPr>
        <w:t xml:space="preserve">3. apakšpunktā iekļauta regula un atbilstošais pants uz kuru attiecas minētie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22. punktā svītrota atsauce uz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nepārprotami, ka nelikumīgi saņemtais valsts vai </w:t>
      </w:r>
      <w:r w:rsidR="00000000" w:rsidRPr="00000000" w:rsidDel="00000000">
        <w:rPr>
          <w:i w:val="1"/>
          <w:rtl w:val="0"/>
        </w:rPr>
        <w:t xml:space="preserve">de minimis</w:t>
      </w:r>
      <w:r w:rsidR="00000000" w:rsidRPr="00000000" w:rsidDel="00000000">
        <w:rPr>
          <w:rtl w:val="0"/>
        </w:rPr>
        <w:t xml:space="preserve"> atbalsts ir jāatgriež atbalsta saņēmējam, atbilstoši veikti grozījumi noteikumu Nr.9 32.</w:t>
      </w:r>
      <w:r w:rsidR="00000000" w:rsidRPr="00000000" w:rsidDel="00000000">
        <w:rPr>
          <w:vertAlign w:val="superscript"/>
          <w:rtl w:val="0"/>
        </w:rPr>
        <w:t xml:space="preserve">1 </w:t>
      </w:r>
      <w:r w:rsidR="00000000" w:rsidRPr="00000000" w:rsidDel="00000000">
        <w:rPr>
          <w:rtl w:val="0"/>
        </w:rPr>
        <w:t xml:space="preserve">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nozarē iesaistīto saimnieciskās darbības veicēju izaugsmi un palielinās nozares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veicējiem, kas nodarbojas ar primāro lauksaimniecisko ražošanu, atbalsts veicinās izaugsmi un palielinās konkurētspēju, tā uzlabojot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izaugsmi un palielinās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nodrošinās lauksaimnieku finanšu stabilitāti finanšu grūtību gadījumos, novēršot likviditātes problēmas un sekmēs lauksaimnieku saimnieciskās darbības ekonomisko dzīvotspēju.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nodrošinās lauksaimnieku finanšu stabilitāti finanšu grūtību gadījumos, novēršot likviditātes problēmas un sekmēs lauksaimnieku saimnieciskās darbības ekonomisko dzīvotspēju.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produkcijas ražotāju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projekts neietekmē iepriekš apstiprināto iesniegumu iesniegšanas kārtību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primārās lauksaimniecības produkcijas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projekts neietekmē iepriekš apstiprināto iesniegumu iesniegšanas kārtību.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primārās lauksaimniecības produkcijas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projekts neietekmē iepriekš apstiprināto iesniegumu iesniegšanas kārtību.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32016R1238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2016. gada 18. maija Deleģētajai regulai (ES) 2016/1238, ar ko Eiropas Parlamenta un Padomes Regulu (ES) Nr. 1308/2013 papildina attiecībā uz valsts intervenci un privātās uzglabāšanas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 (ES)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Regulas (ES) Nr. 1305/2013 par atbalstu lauku attīstībai no Eiropas Lauksaimniecības fonda lauku attīstībai (ELFLA) un ar ko atceļ Padomes Regulu (EK) Nr. 1698/2005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9 ieviešot atbalsta shēmu saskaņā ar Komisijas regulu 2023/2831, tika izmantota rīcības brīvība, bet tā neattiecas uz šo noteikumu grozījumu projektu. Savukārt de minimis atbalsta uzskaites sistēma Latvijā ieviesta jau no 2019.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11., 12., 13., 14. un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2022/2472 17. panta 11. un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9 ieviešot atbalsta shēmu saskaņā ar Komisijas 2022. gada 14. decembra Regulu (ES) 2022/2472, ar kuru, piemērojot Līguma par Eiropas Savienības darbību 107. un 108. pantu, dažu kategoriju atbalstu lauksaimniecības un mežsaimniecības nozarē un lauku apvidos atzīst par saderīgu ar iekšējo tirgu, tika izmantota rīcības brīvība, bet tā neattiecas uz šo noteikumu grozījumu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9 ieviešot atbalsta shēmu saskaņā ar Komisijas regulu 1408/2013, tika izmantota rīcības brīvība, bet tā neattiecas uz šo noteikumu grozījumu projektu. Savukārt de minimis atbalsta uzskaites sistēma Latvijā ieviesta jau no 2019.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2016. gada 18. maija Deleģētajai regulai (ES) 2016/1238, ar ko Eiropas Parlamenta un Padomes Regulu (ES) Nr. 1308/2013 papildina attiecībā uz valsts intervenci un privātās uzglabāšanas atbalstu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9 ieviešot atbalsta shēmu saskaņā ar Komisijas 2016. gada 18. maija Deleģētajai regulai (ES) 2016/1238, ar ko Eiropas Parlamenta un Padomes Regulu (ES) Nr. 1308/2013 papildina attiecībā uz valsts intervenci un privātās uzglabāšanas atbalstu, tika izmantota rīcības brīvība, bet tā neattiecas uz šo noteikumu grozījumu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 (ES) Nr. 717/2014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9 ieviešot atbalsta shēmu saskaņā ar Komisijas regulu 717/2014, tika izmantota rīcības brīvība, bet tā neattiecas uz šo noteikumu grozījumu projektu. Savukārt </w:t>
            </w:r>
            <w:r w:rsidR="00000000" w:rsidRPr="00000000" w:rsidDel="00000000">
              <w:rPr>
                <w:sz w:val="24"/>
                <w:i w:val="1"/>
                <w:rtl w:val="0"/>
              </w:rPr>
              <w:t xml:space="preserve">de minimis</w:t>
            </w:r>
            <w:r w:rsidR="00000000" w:rsidRPr="00000000" w:rsidDel="00000000">
              <w:rPr>
                <w:sz w:val="24"/>
                <w:rtl w:val="0"/>
              </w:rPr>
              <w:t xml:space="preserve"> atbalsta uzskaites sistēma Latvijā ieviesta jau no 2019.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Regulas (ES) Nr. 1305/2013 par atbalstu lauku attīstībai no Eiropas Lauksaimniecības fonda lauku attīstībai (ELFLA) un ar ko atceļ Padomes Regulu (EK) Nr. 1698/2005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9 ieviešot atbalsta shēmu saskaņā ar Eiropas Parlamenta un Padomes 2013. gada 17. decembra Regulas (ES) Nr. 1305/2013 par atbalstu lauku attīstībai no Eiropas Lauksaimniecības fonda lauku attīstībai (ELFLA) un ar ko atceļ Padomes Regulu (EK) Nr. 1698/2005, tika izmantota rīcības brīvība, bet tā neattiecas uz šo noteikumu grozījumu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26-TA-889</w:t>
    </w:r>
    <w:r>
      <w:br/>
    </w:r>
    <w:r w:rsidR="00000000" w:rsidRPr="00000000" w:rsidDel="00000000">
      <w:rPr>
        <w:rtl w:val="0"/>
      </w:rPr>
      <w:t xml:space="preserve">Izdrukāts 29.07.2026. 21.29 - 1.0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26-TA-889</w:t>
    </w:r>
    <w:r>
      <w:br/>
    </w:r>
    <w:r w:rsidR="00000000" w:rsidRPr="00000000" w:rsidDel="00000000">
      <w:rPr>
        <w:rtl w:val="0"/>
      </w:rPr>
      <w:t xml:space="preserve">Izdrukāts 29.07.2026. 21.29 - 1.0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anotācija_(ex_ante)_26-TA-889.docx</dc:title>
</cp:coreProperties>
</file>

<file path=docProps/custom.xml><?xml version="1.0" encoding="utf-8"?>
<Properties xmlns="http://schemas.openxmlformats.org/officeDocument/2006/custom-properties" xmlns:vt="http://schemas.openxmlformats.org/officeDocument/2006/docPropsVTypes"/>
</file>