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"Grozījums Ministru kabineta 2010. gada 24. augusta noteikumos Nr. 800 "Noteikumi par barības sastāvdaļu kategorijām, ko norāda mājas (istabas) dzīvnieku barības maisījumu marķējumā""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 dokuments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Komisijas 1982. gada 23. jūnija Direktīva 82/475/EEK, ar ko nosaka sastāvdaļu kategorijas, kuras var izmantot lolojumdzīvnieku barības maisījumu marķēšanai (turpmāk – Direktīva 82/475/EEK).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izstrādāts, lai precizētu barības sastāvdaļas kategoriju, ko norāda mājas (istabas) dzīvnieku barības maisījumu marķējumā. 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Vispārējā kārtība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Patlaban spēkā ir Ministru kabineta 2010. gada 24. augusta noteikumu Nr. 800 "Noteikumi par barības sastāvdaļu kategorijām, ko norāda mājas (istabas) dzīvnieku barības maisījumu marķējumā" (turpmāk – noteikumi Nr. 800), kuri nosaka barības sastāvdaļu kategorijas, ko norāda mājas (istabas) dzīvnieku barības maisījumu marķējumā.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Ar noteikumiem Nr. 800 ir ieviesta Direktīva 82/475/EEK.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Direktīvas 82/475/EEK pielikumā "Sastāvdaļu kategorijas, kuras var norādīt atsevišķu sastāvdaļu vietā" 5. punktā ir noteikta barības sastāvdaļu kategorija "Raugi", kura definēta kā: "Visi raugi, kuru šūnās ir pārtraukti dzīvības procesi un kuri ir izžāvēti".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Savukārt noteikumu Nr. 800 pielikuma 5. punktā  ir noteikta kategorija barības sastāvdaļu "Ieraugi", kura definēta kā: "Visi ieraugi, kuru šūnās ir pārtraukti dzīvības procesi un kuri ir izžāvēti". Tātad noteikumu Nr. 800 pielikuma 5. punktā nav precīzi iekļauts Direktīvas 82/475/EEK pielikuma  5. punkts.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Minētā neprecīzā Direktīvas 82/475/EEK normas iekļaušana noteikumu Nr.800 pielikumā rada sarežģījumus dzīvnieku barības ražošanas uzņēmumiem, jo uz mājas (istabas) dzīvniekiem paredzētās barības iepakojuma jānorāda "ieraugs", lai gan ražošanā tiek izmantots raugs.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Visas atļautās barības sastāvdaļas ir noteiktas Komisijas 2013. gada 16. janvāra Regulu (ES) Nr. 68/2013, ar ko izveido barības sastāvdaļu reģistru (turpmāk - Regula Nr. 68/2013).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Regulas Nr. 68/2013 pielikuma C daļas 12.1.5. apakšpunktā ir teikts, ka inaktivēti raugi [attiecīgi inaktivēts alus raugs]  ir “Raugi un to daļas, kurus iegūst no </w:t>
      </w:r>
      <w:r w:rsidR="00000000" w:rsidRPr="00000000" w:rsidDel="00000000">
        <w:rPr>
          <w:i w:val="1"/>
          <w:rtl w:val="0"/>
        </w:rPr>
        <w:t xml:space="preserve">Saccharomyces bayanus, Saccharomyces cerevisiae, Saccharomyces pastorianus, Saccharomyces carlsbergensis, Kluyveromyces lactis, Kluyveromyces marxianus, Metschnikowia pulcherrima, Metschnikowia fructicola, Torulaspora delbrueckii, Cyberlindnera jadinii, Saccharomycodes ludwigii, Wickerhamomyces anomalus, Debaryomyces hansenii, Pichia guilliermondii, Yarrowia lypolitica </w:t>
      </w:r>
      <w:r w:rsidR="00000000" w:rsidRPr="00000000" w:rsidDel="00000000">
        <w:rPr>
          <w:rtl w:val="0"/>
        </w:rPr>
        <w:t xml:space="preserve">vai </w:t>
      </w:r>
      <w:r w:rsidR="00000000" w:rsidRPr="00000000" w:rsidDel="00000000">
        <w:rPr>
          <w:i w:val="1"/>
          <w:rtl w:val="0"/>
        </w:rPr>
        <w:t xml:space="preserve">Brettanomyces ssp.</w:t>
      </w:r>
      <w:r w:rsidR="00000000" w:rsidRPr="00000000" w:rsidDel="00000000">
        <w:rPr>
          <w:rtl w:val="0"/>
        </w:rPr>
        <w:t xml:space="preserve"> uz substrāta/barotnes, kas sastāv galvenokārt no augu izcelsmes oglekļa avota, augu vai ķīmiskas izcelsmes slāpekļa avota, vitamīniem un minerālvielām".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Ieraugs barības sastāvdaļu reģistrā nav atrodams, jo ieraugs satur raugu, miltus, ūdeni un neatbilst barības sastāvdaļas "raugs"  Direktīvas 82/475/EEK pielikumā noteiktajai definīcijai.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 Nr. 800 pielikuma 5. punkts jāprecizē, lai nodrošinātu atbilstošu Direktīvas  82/475/EEK pielikuma 5. punkta ieviešanu nacionālajā normatīvajā aktā minētās direktīvas mērķa sasniegšanai.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2.1. Sabiedrības grupas, kuras tiesiskais regulējums ietekmē, vai varētu ietekmēt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Fiziskās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Juridiskās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Dzīvnieku barības apritē iesaistītiem uzņēmumiem, kas ražo, pārpako vai laiž tirgū dzīvnieku barību.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Ietekmes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Pārtikas un veterinārā dienesta uzraudzībai pakļauto uzņēmumu reģistrā iekļauti 19 dzīvnieku barības ražotāji, 42 uzņēmumi, kuri dzīvnieku barību pārpako, kā arī 373 uzņēmumi, kas barību laiž tirgū.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Minētajiem uzņēmumiem barības maisījuma marķējumā būtu jānorāda barības sastāvdaļu kategorija "raugi", gadījumos, kad dzīvnieku barība to satur.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2.2. Tiesiskā regulējuma ietekme uz tautsaimniecību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2.3. Administratīvo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2.4. Atbilstības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5.1. Saistības pret Eiropas Savienību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CELEX numurs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31982L0475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datums, izdevējinstitūcija, numurs, veids un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Komisijas 1982. gada 23. jūnija Direktīva 82/475/EEK, ar ko nosaka sastāvdaļu kategorijas, kuras var izmantot lolojumdzīvnieku barības maisījumu marķēšanai.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5.2. Citas starptautiskās saistības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5.4. 1. tabula. Tiesību akta projekta atbilstība ES tiesību aktiem</w:t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2410"/>
        <w:gridCol w:w="2410"/>
        <w:gridCol w:w="2410"/>
        <w:gridCol w:w="2410"/>
        <w:tblGridChange w:id="0">
          <w:tblGrid>
            <w:gridCol w:w="2410"/>
            <w:gridCol w:w="2410"/>
            <w:gridCol w:w="2410"/>
            <w:gridCol w:w="241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Attiecīgā ES tiesību akta datums, izdevējinstitūcija, numurs, veids un nosaukums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Komisijas 1982. gada 23. jūnija Direktīva 82/475/EEK, ar ko nosaka sastāvdaļu kategorijas, kuras var izmantot lolojumdzīvnieku barības maisījumu marķēšanai.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ES TA panta numurs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Projekta vienība, kas pārņem vai ievieš A minēto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Tiek pārņemts pilnībā vai daļēji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Vai B minētais paredz stingrākas prasības un pamatojums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B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C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D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Pielikuma 5.punkts 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Noteikumu Nr.800 pielikuma 5.punkts.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Neparedz stingrākas prasības.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Kā ir izmantota ES tiesību aktā paredzētā rīcības brīvība dalībvalstij pārņemt vai ieviest noteiktas ES tiesību akta normas? Kādēļ?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Cita informācija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</w:tbl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6.1. Projekta izstrādē iesaistītās institūcijas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Valsts un pašvaldību institūcijas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Pārtikas un veterinārais dienests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Nevalstiskās organizācijas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Dzīvnieku barības ražotāju un tirgotāju asociācija.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Dzīvnieku barības ražotājs "Nestle".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6.2. Sabiedrības līdzdalības organizēšanas veidi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Veids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Publiskā apspriešana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Saite uz sabiedrības līdzdalības rezultātiem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6.3. Sabiedrības līdzdalības rezultāti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7.1. Projekta izpildē iesaistītās institūcijas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Institūcijas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Pārtikas un veterinārais dienests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7.2. Administratīvo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7.3. Atbilstības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7.4. Projekta izpildes ietekme uz pārvaldes funkcijām un institucionālo struktūru</w:t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4371"/>
        <w:gridCol w:w="900"/>
        <w:gridCol w:w="4371"/>
        <w:tblGridChange w:id="0">
          <w:tblGrid>
            <w:gridCol w:w="4371"/>
            <w:gridCol w:w="900"/>
            <w:gridCol w:w="437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Ietekme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Jā/Nē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Skaidrojums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 Tiks veidota jauna institūcija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 Tiks likvidēta institūcija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 Tiks veikta esošās institūcijas reorganizācija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4. Institūcijas funkcijas un uzdevumi tiks mainīti (paplašināti vai sašaurināti)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 Tiks veikta iekšējo institūcijas procesu efektivizācija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 Tiks veikta iekšējo institūcijas procesu digitalizācija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 Tiks veikta iekšējo institūcijas procesu optimizācija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 Cita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Nē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</w:tbl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23-TA-2385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23-TA-2385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anotācija_(ex_ante)_23-TA-2385.docx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