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15. novembra noteikumos Nr. 880 "Govju enzootiskās leikozes uzraudzības, kontroles un apkarošanas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2011. gada 15. novembra noteikumos Nr. 880 "Govju enzootiskās leikozes uzraudzības, kontroles un apkarošanas kārtība"" (turpmāk – noteikumu projekts) sagatavots, ievērojot Ministru kabineta 2024. gada 13. septembra rīkojuma Nr. 743 "Par Lauksaimniecības datu centra likvidāciju" (turpmāk – rīkojums Nr. 743) 4.2.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17. decembra Deleģētā regula (ES) 2020/689, ar ko attiecībā uz noteikumiem par noteiktu sarakstā norādītu un jaunradušos slimību uzraudzību, izskaušanas programmām un statusu "brīvs no slimības" papildina Eiropas Parlamenta un Padomes Regulu (ES) 2016/429 (turpmāk – regula 2020/689).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 gada 7. decembra Īstenošanas regula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 (turpmāk – regula 2020/2002).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15. aprīļa Īstenošanas regula (ES) 2021/620, ar ko nosaka noteikumus par Eiropas Parlamenta un Padomes Regulas (ES) 2016/429 piemērošanu saistībā ar statusa "brīvs no slimības" un "neveic vakcināciju" apstiprināšanu noteiktām dalībvalstīm vai to zonām vai nodalījumiem attiecībā uz noteiktām sarakstā norādītām slimībām, kā arī apstiprina šo sarakstā norādīto slimību izskaušanas programmas (turpmāk – regula 2021/620).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 gada 3. decembra Īstenošanas regula (ES) 2018/1882 par dažu slimību profilakses un kontroles noteikumu piemērošanu attiecībā uz sarakstā norādīto slimību kategorijām un ar ko izveido sarakstu ar sugām un sugu grupām, kas rada sarakstā norādīto slimību ievērojamu izplatības risku (turpmāk – regula 2018/1882).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datu centrs) likvidāciju un tā līdzšinējo funkciju un valsts pārvaldes uzdevumu nodošanu Lauku atbalsta dienestam (turpmāk arī – LAD), tostarp lauksaimniecības dzīvnieku, ganāmpulku un novietņu reģistrācijas, datubāzu un reģistru uzturēšanas jomā, kā arī lai nodrošinātu atbilstību Eiropas Savienības tieši piemērojamiem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Nr. 743 2.1. apakšpunktu LAD pārziņā ir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minētā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2011. gada 15. novembra noteikumi Nr. 880 "Govju enzootiskās leikozes uzraudzības, kontroles un apkarošanas kārtība" (turpmāk – noteikumi Nr. 880).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21. aprīļa spēkā ir jaunais dzīvnieku veselības normatīvais regulējums, ko nosaka Eiropas Parlamenta un Padomes 2016. gada 9. marta Regula (ES) 2016/429 par pārnēsājamām dzīvnieku slimībām un ar ko groza un atceļ konkrētus aktus dzīvnieku veselības jomā ("Dzīvnieku veselības tiesību akts") (turpmāk – regula 2016/429) un tai pakārtotie deleģētie un īstenošanas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2018/1882 pielikuma 23. rindu govju enzootiskai leikozei ir piešķirta C + D + E slimības kategorija. Regulas 2018/1882 1. panta 3. punktā dota definīcija C kategorijas slimībām, proti, C kategorijas slimība ir sarakstā minēta slimība, kura attiecas uz dažām dalībvalstīm un saistībā ar kuru ir nepieciešami pasākumi, lai novērstu šīs slimības izplatīšanos tajās Savienības daļās, kas oficiāli ir brīvas no slimības vai kam ir attiecīgo sarakstā norādīto slimību izskaušanas programmas, kā minēts regulas 2016/429 9. panta 1. punkta "c" apakšpunktā. Saskaņā ar regulas 2016/429 31. panta 2. punktu dalībvalstīm, kuras nav brīvas no 9. panta 1. punkta "c" apakšpunktā minētajām sarakstā norādītajām slimībām vai par kurām nav zināms, ka tās ir brīvas no šīm slimībām, var nolemt izveidot sarakstā norādītās slimības izskaušanai paredzētu programmu, kura īstenojama slimības skartajās dzīvnieku populācijās un kura aptver valsts teritorijas daļas, zonas vai nodalījumus ("fakultatīva izskaušanas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saskaņā ar regulas 2021/620 IV pielikuma I daļas 11. rindu piešķirts statuss "brīva no govju enzootiskās leikozes (EBL)". Regulas 2020/689 ievaddaļas 40.–42. punktā ir sniegts pamatojums atsevišķu Eiropas Savienības dalībvalstu vai to teritoriju iekļaušanai "brīva no govju enzootiskās leikozes (EBL)"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Saskaņā ar Savienības noteikumiem, kas bija spēkā pirms šīs regulas piemērošanas dienas, uz govju enzootisko leikozi (EBL) attiecās obligāta izskaušana. Tagad šī slimība saskaņā ar Īstenošanas regulu (ES) 2018/1882 ir kategorizēta kā izskaužama fakultatīvi.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Savienības noteikumi, kas bija spēkā pirms šīs regulas piemērošanas dienas, ietvēra vispāratzītus un iedarbīgus principus un kritērijus attiecībā uz oficiāla statusa "brīvs no govju enzootiskās leikozes" atzīšanu, saglabāšanu, apturēšanu un atjaunošanu. Daudzas dalībvalstis šos noteikumus veiksmīgi piemērojušas, īstenojot līdzšinējās govju enzootiskās leikozes izskaušanas programmas. Ir pārbaudīta šo noteikumu atbilstība Sauszemes dzīvnieku veselības kodeksam, un tie ir iekļauti šajā regulā.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Dalībvalstīm vai zonām, kas bijušas brīvas no govju enzootiskās leikozes vairākus gadus, proti, ir noturīgi brīvas no govju enzootiskās leikozes, būtu jāturpina pierādīt infekcijas neesība. Riska izvērtēšanā balstīta uzraudzība ir piemērots līdzeklis, kā agrīni konstatēt slimības atkalparādīšanos un pamatot brīvumu no govju enzootiskās leikozes."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4. panta pirmā daļa noteic, ka Pārtikas un veterinārais dienests (turpmāk – PVD), pamatojoties uz valsts uzraudzības programmām un normatīvo aktu prasībām, organizē un nodrošina valsts uzraudzību un kontroli dzīvnieku infekcijas slimību profilakses un apkarošanas jomā. Tādējādi laikā, kad Latvija saglabā statusu "brīva no govju enzootiskās leikozes (EBL)", PVD nodrošina šīs slimības uzraudzību saskaņā ar govju enzootiskās leikozes valsts uzraudzības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2.1. apakšpunktā noteikts, ka viens no valsts pārvaldes uzdevumiem ir lauksaimniecības un zivsaimniecības nozares informācijas sistēmu pārvaldība. Tādējādi Lauksaimniecības un zivsaimniecības nozares informācijas sistēma aizstāj datu centra kompetencē esošo "Lauksaimniecības datu centra informācijas sistēmu", kurā bija iekļauta dzīvnieku, novietņu reģistrēšanas, identifikācijas un izsekojamības  datubāze. Tā kā noteikumos Nr. 880 ir minēta Lauksaimniecības datu centra informācijas sistēmas datubāze, noteikumos Nr. 880 lietotie termini attiecībā uz dzīvnieku un novietņu reģistrāciju neatbilst jomu reglamentējošajos aktos lietotajiem terminiem.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19., 21. un 26. punktā precizēts noteikumu Nr. 880 9., 17., 19. un 24. punkts, norādot atbilstošu dzīvnieku un novietņu reģistra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4., 8., 9., 19., 21. un 26. punktu noteikumu Nr. 880 5., 8., 9., 17., 19. un 24. punktā vārdi "Lauksaimniecības datu centrs" aizstāti ar vārdiem "Lauku atbalsta dienests" attiecīgā locījumā, tādējādi nosakot LAD par līdz šim datu centram noteikto pārvaldes uzdevumu izpildītāju.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880 4. punktā norādīts neprecīzs valsts zinātnisko institūta "Pārtikas drošības, dzīvnieku veselības un vides zinātniskais institūts "BIOR""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izsaka noteikumu Nr. 880 4. punktu jaunā redakcijā un precizē Pārtikas drošības, dzīvnieku veselības un vides zinātniskā institūta "BIOR"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880 iekļautas tiesību normas,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1964. gada 26. jūnija Direktīvas 64/432/EEK par dzīvnieku veselības problēmām, kas ietekmē liellopu un cūku tirdzniecību Kopienā (turpmāk – direktīva 64/432);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Padomes 1977. gada 17. maija Direktīvas 77/391/EEK, ar ko ievieš Kopienas pasākumus liellopu brucelozes, tuberkulozes un leikozes izskaušanai (turpmāk – direktīva 77/391);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Padomes 1977. gada 13. decembra Direktīvas 78/52/EEK, kas ievieš Kopienas kritērijus valstu plāniem liellopu brucelozes, tuberkulozes un enzootiskās leikozes paātrinātai izskaušanai (turpmāk – direktīva 78/52).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2016/429 stājās spēkā 2021. gada 21. aprīlī. Saskaņā ar regulas 2016/429 270. panta 2. punktu no 2021. gada 21. aprīļa tiek atcelta direktīva 64/432, direktīva 77/391 un direktīva 78/52.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 2021. gada 21. aprīļa 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 2020/689, kura cita starpā nosaka govju enzootiskās leikozes laboratoriskās diagnostikas metodes, govju enzootiskās leikozes uzraudzības, kontroles un apkarošanas kārtību, kā arī nosacījumus, lai valsts kopumā var iegūt un saglabāt no govju enzootiskās leikozes oficiāli brīvas valsts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 2020/2002, kura cita starpā nosaka kārtību, kādā dalībvalstis (arī Latvija) ziņo par apstiprinātu govju enzootiskās leikozes gadījumu, ja dalībvalsts ir brīva no govju enzootiskās leikozes vai tajā ir ieviesta fakultatīvā izskaušanas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 2018/1882, kura iekļauj visas Kopienai svarīgās infekcijas slimības sarakstā un piešķir tām attiecīgu kategoriju, kas nosaka turpmākos slimību uzraudzības, kontroles un apkarošanas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regula 2021/620, kas nosaka dalībvalstis vai to zonas, kurām ir statuss "brīva no govju enzootiskās leikozes (EBL)", to norādot IV pielikuma I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atsevišķas regulas 2018/1882, regulas 2020/689, regulas 2021/620 un regulas 2020/2002 normas, kas attiecināmas uz govju enzootiskās leikozes infekcijas slimību, tās laboratorisko diagnostiku, uzraudzību, kontroli un apkarošanu, ziņošanas kārtību par apstiprinātu govju enzootiskās leikozes gadījumu, nodrošinātu no govju enzootiskās leikozes (EBL) brīvas valsts statusa saglabāšanu, kā arī lietotu atbilstošu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grozīts noteikumu Nr. 880 1. punkts (noteikumu projekta 1. punkts), ieviešot regulas 2020/689 2. panta  7. punktā minētās dzīvnieku ģintis (</w:t>
      </w:r>
      <w:r w:rsidR="00000000" w:rsidRPr="00000000" w:rsidDel="00000000">
        <w:rPr>
          <w:i w:val="1"/>
          <w:rtl w:val="0"/>
        </w:rPr>
        <w:t xml:space="preserve">Bison ssp</w:t>
      </w:r>
      <w:r w:rsidR="00000000" w:rsidRPr="00000000" w:rsidDel="00000000">
        <w:rPr>
          <w:rtl w:val="0"/>
        </w:rPr>
        <w:t xml:space="preserve">., </w:t>
      </w:r>
      <w:r w:rsidR="00000000" w:rsidRPr="00000000" w:rsidDel="00000000">
        <w:rPr>
          <w:i w:val="1"/>
          <w:rtl w:val="0"/>
        </w:rPr>
        <w:t xml:space="preserve">Bos ssp</w:t>
      </w:r>
      <w:r w:rsidR="00000000" w:rsidRPr="00000000" w:rsidDel="00000000">
        <w:rPr>
          <w:rtl w:val="0"/>
        </w:rPr>
        <w:t xml:space="preserve">., </w:t>
      </w:r>
      <w:r w:rsidR="00000000" w:rsidRPr="00000000" w:rsidDel="00000000">
        <w:rPr>
          <w:i w:val="1"/>
          <w:rtl w:val="0"/>
        </w:rPr>
        <w:t xml:space="preserve">Bubalus ssp</w:t>
      </w:r>
      <w:r w:rsidR="00000000" w:rsidRPr="00000000" w:rsidDel="00000000">
        <w:rPr>
          <w:rtl w:val="0"/>
        </w:rPr>
        <w:t xml:space="preserve">.), kurām piemērojami govju enzootiskās leikozes uzraudzības, kontroles un apkarošanas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noteikumu projekta 2., 6., 7., 8., 9., 10., 11., 12., 13., 14., 15., 16., 17., 18., 19., 20., 21., 22., 25., 26., 28., 30. un 31. punktu tiek grozīts noteikumu Nr. 880 1.</w:t>
      </w:r>
      <w:r w:rsidR="00000000" w:rsidRPr="00000000" w:rsidDel="00000000">
        <w:rPr>
          <w:vertAlign w:val="superscript"/>
          <w:rtl w:val="0"/>
        </w:rPr>
        <w:t xml:space="preserve">1</w:t>
      </w:r>
      <w:r w:rsidR="00000000" w:rsidRPr="00000000" w:rsidDel="00000000">
        <w:rPr>
          <w:rtl w:val="0"/>
        </w:rPr>
        <w:t xml:space="preserve">2., 7.1. apakšpunkts, 7.</w:t>
      </w:r>
      <w:r w:rsidR="00000000" w:rsidRPr="00000000" w:rsidDel="00000000">
        <w:rPr>
          <w:vertAlign w:val="superscript"/>
          <w:rtl w:val="0"/>
        </w:rPr>
        <w:t xml:space="preserve">1</w:t>
      </w:r>
      <w:r w:rsidR="00000000" w:rsidRPr="00000000" w:rsidDel="00000000">
        <w:rPr>
          <w:rtl w:val="0"/>
        </w:rPr>
        <w:t xml:space="preserve">, 8. un 9. punkts, 10.1., 10.2.1., 10.2.2., 10.2.3., 13.2. un 13.3. apakšpunkts, 14. un 16. punkts, III. nodaļas nosaukums, 17., 18., 19. un 20. punkts, 20.1. un 20.3. apakšpunkts, 23. un 24. punkts, 24.</w:t>
      </w:r>
      <w:r w:rsidR="00000000" w:rsidRPr="00000000" w:rsidDel="00000000">
        <w:rPr>
          <w:vertAlign w:val="superscript"/>
          <w:rtl w:val="0"/>
        </w:rPr>
        <w:t xml:space="preserve">1</w:t>
      </w:r>
      <w:r w:rsidR="00000000" w:rsidRPr="00000000" w:rsidDel="00000000">
        <w:rPr>
          <w:rtl w:val="0"/>
        </w:rPr>
        <w:t xml:space="preserve">4. apakšpunkts, kā arī 24.</w:t>
      </w:r>
      <w:r w:rsidR="00000000" w:rsidRPr="00000000" w:rsidDel="00000000">
        <w:rPr>
          <w:vertAlign w:val="superscript"/>
          <w:rtl w:val="0"/>
        </w:rPr>
        <w:t xml:space="preserve">3 </w:t>
      </w:r>
      <w:r w:rsidR="00000000" w:rsidRPr="00000000" w:rsidDel="00000000">
        <w:rPr>
          <w:rtl w:val="0"/>
        </w:rPr>
        <w:t xml:space="preserve">un 24.</w:t>
      </w:r>
      <w:r w:rsidR="00000000" w:rsidRPr="00000000" w:rsidDel="00000000">
        <w:rPr>
          <w:vertAlign w:val="superscript"/>
          <w:rtl w:val="0"/>
        </w:rPr>
        <w:t xml:space="preserve">4</w:t>
      </w:r>
      <w:r w:rsidR="00000000" w:rsidRPr="00000000" w:rsidDel="00000000">
        <w:rPr>
          <w:rtl w:val="0"/>
        </w:rPr>
        <w:t xml:space="preserve"> punkts, ieviešot regulas 2016/429 4. panta 27. punktā minēto terminu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grozīts noteikumu Nr. 880 6. punkts (noteikumu projekta 5. punktā izteiktais noteikumu Nr. 880 6.2. apakšpunkts), ieviešot regulas 2016/429 31. panta 2. punktā minēto fakultatīvo izskaušanas programmu, kas tiek izstrādāta govju enzootiskās leikozes izskaušanas pasākumiem pēc tam, kad valsts zaudējusi statusu "brīva no govju enzootiskās leikozes (EBL)";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jaunā redakcijā izteikts noteikumu Nr. 880 13.2. apakšpunkts (noteikumu projekta 14. punkts), tādējādi ieviešot regulas 2020/689 IV pielikuma III daļas 1. nodaļas 4. iedaļas 3. punkta "b" apakšpunkta un 4. punkta prasības, un to kādā gadījumā dienests piešķirt statusu "brīvs no govju enzootiskās leikozes (EBL)";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svītrots noteikumu Nr. 880 18.2. un 18.3. apakšpunkts un 21., 22. un 24.</w:t>
      </w:r>
      <w:r w:rsidR="00000000" w:rsidRPr="00000000" w:rsidDel="00000000">
        <w:rPr>
          <w:vertAlign w:val="superscript"/>
          <w:rtl w:val="0"/>
        </w:rPr>
        <w:t xml:space="preserve">2 </w:t>
      </w:r>
      <w:r w:rsidR="00000000" w:rsidRPr="00000000" w:rsidDel="00000000">
        <w:rPr>
          <w:rtl w:val="0"/>
        </w:rPr>
        <w:t xml:space="preserve">punkts (noteikumu projekta 20., 23., 24. un 29. punkts), ar kuriem tika pārņemtas spēku zaudējušās direktīvas (direktīva 64/432, direktīva 77/391 un direktīva 78/52);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tiek grozīts noteikumu Nr. 880 13.2. apakšpunkts, 14., 18., 19. un 20. punkts, kā arī 24.</w:t>
      </w:r>
      <w:r w:rsidR="00000000" w:rsidRPr="00000000" w:rsidDel="00000000">
        <w:rPr>
          <w:vertAlign w:val="superscript"/>
          <w:rtl w:val="0"/>
        </w:rPr>
        <w:t xml:space="preserve">1</w:t>
      </w:r>
      <w:r w:rsidR="00000000" w:rsidRPr="00000000" w:rsidDel="00000000">
        <w:rPr>
          <w:rtl w:val="0"/>
        </w:rPr>
        <w:t xml:space="preserve">1., 24.</w:t>
      </w:r>
      <w:r w:rsidR="00000000" w:rsidRPr="00000000" w:rsidDel="00000000">
        <w:rPr>
          <w:vertAlign w:val="superscript"/>
          <w:rtl w:val="0"/>
        </w:rPr>
        <w:t xml:space="preserve">1</w:t>
      </w:r>
      <w:r w:rsidR="00000000" w:rsidRPr="00000000" w:rsidDel="00000000">
        <w:rPr>
          <w:rtl w:val="0"/>
        </w:rPr>
        <w:t xml:space="preserve">2., 24.</w:t>
      </w:r>
      <w:r w:rsidR="00000000" w:rsidRPr="00000000" w:rsidDel="00000000">
        <w:rPr>
          <w:vertAlign w:val="superscript"/>
          <w:rtl w:val="0"/>
        </w:rPr>
        <w:t xml:space="preserve">1</w:t>
      </w:r>
      <w:r w:rsidR="00000000" w:rsidRPr="00000000" w:rsidDel="00000000">
        <w:rPr>
          <w:rtl w:val="0"/>
        </w:rPr>
        <w:t xml:space="preserve">4., 24.</w:t>
      </w:r>
      <w:r w:rsidR="00000000" w:rsidRPr="00000000" w:rsidDel="00000000">
        <w:rPr>
          <w:vertAlign w:val="superscript"/>
          <w:rtl w:val="0"/>
        </w:rPr>
        <w:t xml:space="preserve">1</w:t>
      </w:r>
      <w:r w:rsidR="00000000" w:rsidRPr="00000000" w:rsidDel="00000000">
        <w:rPr>
          <w:rtl w:val="0"/>
        </w:rPr>
        <w:t xml:space="preserve">4.1. un 24.</w:t>
      </w:r>
      <w:r w:rsidR="00000000" w:rsidRPr="00000000" w:rsidDel="00000000">
        <w:rPr>
          <w:vertAlign w:val="superscript"/>
          <w:rtl w:val="0"/>
        </w:rPr>
        <w:t xml:space="preserve">1</w:t>
      </w:r>
      <w:r w:rsidR="00000000" w:rsidRPr="00000000" w:rsidDel="00000000">
        <w:rPr>
          <w:rtl w:val="0"/>
        </w:rPr>
        <w:t xml:space="preserve">4.2. apakšpunkts (noteikumu projekta 14., 16., 20., 21., 22. un 28. punkts), lai attiecībā uz govju enzootiskās leikozes uzraudzību ieviestu regulas 2020/689 prasības, kas iepriekš tika pārņemtas no attiecīgajām direktīvām (direktīvas 64/432, direktīvas 77/391 un direktīvas 78/52);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noteikumu projekta 26. punktu jaunā redakcijā izteikts noteikumu Nr. 880 III</w:t>
      </w:r>
      <w:r w:rsidR="00000000" w:rsidRPr="00000000" w:rsidDel="00000000">
        <w:rPr>
          <w:vertAlign w:val="superscript"/>
          <w:rtl w:val="0"/>
        </w:rPr>
        <w:t xml:space="preserve">1</w:t>
      </w:r>
      <w:r w:rsidR="00000000" w:rsidRPr="00000000" w:rsidDel="00000000">
        <w:rPr>
          <w:rtl w:val="0"/>
        </w:rPr>
        <w:t xml:space="preserve">. nodaļas nosaukums, tādējādi saskaņojot noteikumos Nr. 880 lietoto terminoloģiju ar ES normatīvajos aktos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tiek svītrota informatīvā atsauce uz Eiropas Savienības direktīvu 64/432, direktīvu 77/391 un direktīvu 78/52 (noteikumu projekta 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tiek svītrots noteikumu Nr. 880 pielikums (noteikumu projekta 33. punkts), jo turpmāk govju enzootiskās leikozes laboratorisko diagnostiku veiks Pārtikas drošības, dzīvnieku veselības un vides zinātniskais institūts "BIOR" atbilstoši regulas 2020/689 III pielikuma 3. iedaļas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Bison ssp., Bos ssp., Bubalus ssp. dzīvnieku īpašnieki vai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LAD līdz kārtējā gada 31. decembrim lauksaimniecības dzīvnieku, ganāmpulku un novietņu reģistrā ievietos informāciju par reģistrētajām lauksaimniecības dzīvnieku novietnēm, kurās saskaņā ar govju enzootiskās leikozes valsts uzraudzības programmu nākamajā gadā </w:t>
      </w:r>
      <w:r w:rsidR="00000000" w:rsidRPr="00000000" w:rsidDel="00000000">
        <w:rPr>
          <w:i w:val="1"/>
          <w:rtl w:val="0"/>
        </w:rPr>
        <w:t xml:space="preserve">Bison ssp</w:t>
      </w:r>
      <w:r w:rsidR="00000000" w:rsidRPr="00000000" w:rsidDel="00000000">
        <w:rPr>
          <w:rtl w:val="0"/>
        </w:rPr>
        <w:t xml:space="preserve">., </w:t>
      </w:r>
      <w:r w:rsidR="00000000" w:rsidRPr="00000000" w:rsidDel="00000000">
        <w:rPr>
          <w:i w:val="1"/>
          <w:rtl w:val="0"/>
        </w:rPr>
        <w:t xml:space="preserve">Bos ssp.</w:t>
      </w:r>
      <w:r w:rsidR="00000000" w:rsidRPr="00000000" w:rsidDel="00000000">
        <w:rPr>
          <w:rtl w:val="0"/>
        </w:rPr>
        <w:t xml:space="preserve">,</w:t>
      </w:r>
      <w:r w:rsidR="00000000" w:rsidRPr="00000000" w:rsidDel="00000000">
        <w:rPr>
          <w:i w:val="1"/>
          <w:rtl w:val="0"/>
        </w:rPr>
        <w:t xml:space="preserve"> Bubalus ssp</w:t>
      </w:r>
      <w:r w:rsidR="00000000" w:rsidRPr="00000000" w:rsidDel="00000000">
        <w:rPr>
          <w:rtl w:val="0"/>
        </w:rPr>
        <w:t xml:space="preserve">. dzīvniekiem ir nepieciešams noņemt paraugus laboratoriskiem izmeklējumiem. Dzīvnieku īpašniekam vai turētājam pēc minētās informācijas iegūšanas būs jānodrošina attiecīgā vecuma dzīvnieku izmeklēšana.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Bison ssp., Bos ssp., Bubalus ssp. dzīvnieku īpašnieki vai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LAD līdz kārtējā gada 31. decembrim lauksaimniecības dzīvnieku, ganāmpulku un novietņu reģistrā ievietos informāciju par reģistrētajām lauksaimniecības dzīvnieku novietnēm, kurās saskaņā ar govju enzootiskās leikozes valsts uzraudzības programmu nākamajā gadā </w:t>
      </w:r>
      <w:r w:rsidR="00000000" w:rsidRPr="00000000" w:rsidDel="00000000">
        <w:rPr>
          <w:i w:val="1"/>
          <w:rtl w:val="0"/>
        </w:rPr>
        <w:t xml:space="preserve">Bison ssp</w:t>
      </w:r>
      <w:r w:rsidR="00000000" w:rsidRPr="00000000" w:rsidDel="00000000">
        <w:rPr>
          <w:rtl w:val="0"/>
        </w:rPr>
        <w:t xml:space="preserve">., </w:t>
      </w:r>
      <w:r w:rsidR="00000000" w:rsidRPr="00000000" w:rsidDel="00000000">
        <w:rPr>
          <w:i w:val="1"/>
          <w:rtl w:val="0"/>
        </w:rPr>
        <w:t xml:space="preserve">Bos ssp</w:t>
      </w:r>
      <w:r w:rsidR="00000000" w:rsidRPr="00000000" w:rsidDel="00000000">
        <w:rPr>
          <w:rtl w:val="0"/>
        </w:rPr>
        <w:t xml:space="preserve">., </w:t>
      </w:r>
      <w:r w:rsidR="00000000" w:rsidRPr="00000000" w:rsidDel="00000000">
        <w:rPr>
          <w:i w:val="1"/>
          <w:rtl w:val="0"/>
        </w:rPr>
        <w:t xml:space="preserve">Bubalus ssp</w:t>
      </w:r>
      <w:r w:rsidR="00000000" w:rsidRPr="00000000" w:rsidDel="00000000">
        <w:rPr>
          <w:rtl w:val="0"/>
        </w:rPr>
        <w:t xml:space="preserve">. dzīvniekiem ir nepieciešams noņemt paraugus laboratoriskiem izmeklējumiem. Dzīvnieku īpašniekam vai turētājam pēc minētās informācijas iegūšanas būs jānodrošina attiecīgā vecuma dzīvnieku izmeklēšana.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21 440,43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Bison ssp., Bos ssp., Bubalus ssp. dzīvnieku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asins paraugu izmeklējumu cena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7 219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izmeklēto paraugu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21 440,43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Laboratorisko pakalpojumu izmaksas 2024. gadā līdz decembra sākumam. 212 dzīvnieku īpašniekiem bija nepieciešams noņemt asins paraugus liellopiem, lai 2024. gadā veiktu obligātos laboratoriskos izmeklējumus uz govju enzootisko leikozi.</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165 600,00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Bison ssp., Bos ssp., Bubalus ssp. dzīvnieku īpašnieki vai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koppiena paraugu izmeklējumu cena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izmeklēto paraugu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165 600,00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Laboratorisko pakalpojumu izmaksas 2024. gadā līdz decembra sākumam. 3000 dzīvnieku īpašniekiem bija nepieciešams noņemt piena paraugus liellopiem, lai 2024. gadā veiktu obligātos laboratoriskos izmeklējumus uz govju enzootisko leikozi.</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187 040,43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32020R0689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17. decembra Deleģētā regula (ES) 2020/689, ar ko attiecībā uz noteikumiem par noteiktu sarakstā norādītu un jaunradušos slimību uzraudzību, izskaušanas programmām un statusu "brīvs no slimības" papildina Eiropas Parlamenta un Padomes Regulu (ES) 2016/429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 gada 7. decembra Īstenošanas regula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32021R0620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15. aprīļa Īstenošanas regula (ES) 2021/620, ar ko nosaka noteikumus par Eiropas Parlamenta un Padomes Regulas (ES) 2016/429 piemērošanu saistībā ar statusa "brīvs no slimības" un "neveic vakcināciju" apstiprināšanu noteiktām dalībvalstīm vai to zonām vai nodalījumiem attiecībā uz noteiktām sarakstā norādītām slimībām, kā arī apstiprina šo sarakstā norādīto slimību izskaušanas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Regula (ES) 2016/429 par pārnēsājamām dzīvnieku slimībām un ar ko groza un atceļ konkrētus aktus dzīvnieku veselības jomā ("Dzīvnieku veselības tiesību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17. decembra Deleģētā regula (ES) 2020/689, ar ko attiecībā uz noteikumiem par noteiktu sarakstā norādītu un jaunradušos slimību uzraudzību, izskaušanas programmām un statusu "brīvs no slimības" papildina Eiropas Parlamenta un Padomes Regulu (ES) 2016/429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4. iedaļas 3. punkta "b"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13.2.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1. iedaļas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17.2.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2.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18.1.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3. iedaļas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19.1.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3. iedaļas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19.2.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4. iedaļas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19.3.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2. nodaļas 2. iedaļas "c"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24.</w:t>
            </w:r>
            <w:r w:rsidR="00000000" w:rsidRPr="00000000" w:rsidDel="00000000">
              <w:rPr>
                <w:sz w:val="24"/>
                <w:vertAlign w:val="superscript"/>
                <w:rtl w:val="0"/>
              </w:rPr>
              <w:t xml:space="preserve">1</w:t>
            </w:r>
            <w:r w:rsidR="00000000" w:rsidRPr="00000000" w:rsidDel="00000000">
              <w:rPr>
                <w:sz w:val="24"/>
                <w:rtl w:val="0"/>
              </w:rPr>
              <w:t xml:space="preserve">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1.</w:t>
            </w:r>
            <w:r w:rsidR="00000000" w:rsidRPr="00000000" w:rsidDel="00000000">
              <w:rPr>
                <w:sz w:val="24"/>
                <w:vertAlign w:val="superscript"/>
                <w:rtl w:val="0"/>
              </w:rPr>
              <w:t xml:space="preserve">1</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III pielikuma 3.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4. punkta pirmais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12., 13., 14. un 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1. iedaļas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17.1.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IV pielikuma III daļas 1. nodaļas 4. iedaļas 2.,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20.1.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20.2.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30.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2020/689 20.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(jauns noteikumu Nr. 880 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jo PVD nevar nodrošināt epidemioloģisko uzraudzību tā, lai garantētu drošu dzīvnieku un to reproduktīvo produktu pārvietošanu un izplatīšanu veidā, kas novērš infekcijas slimības izplatīšanos.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minētās regulas 2020/689 19. pantā noteiktās tiesības "kompetentajai iestādei nolemt, ka 18. panta 1. punktā noteiktie operatoru pienākumi, kas ir priekšnoteikums statusa "brīvs no slimības" saņemšanai un saglabāšanai, neattiecas uz šādu objektu operatoriem" tiks izmantotas situācijās, kad dzīvnieki tiek turēti objektos, kuros dzīvniekus tur tikai dzīvnieku priekšnesumiem, vai ceļojošos cirkos. Pārējos regulas 2020/689 19. pantā minētajos objektos tiks īstenota govju enzootiskās leikozes uzraudzība un apkarošanas pasākumi, ja tajos tiks konstatēta govju enzootiskā leikoze. Kompetentajai iestādei noteiktā izvēle tiek izmantota, lai nenoteiktu nelietderīgus dzīvnieku laboratoriskos izmeklējumus, jo minētajos objektos šādu dzīvnieku klātbūtne ir reta, tāpēc govju enzootiskās leikozes izplatības risks ir ļoti mazs.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2020. gada 7. decembra Īstenošanas regula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2020/2002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24.</w:t>
            </w:r>
            <w:r w:rsidR="00000000" w:rsidRPr="00000000" w:rsidDel="00000000">
              <w:rPr>
                <w:sz w:val="24"/>
                <w:vertAlign w:val="superscript"/>
                <w:rtl w:val="0"/>
              </w:rPr>
              <w:t xml:space="preserve">1</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aplūkotās regulas 2020/2002 normas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Ieviestas prasības, kas attiecināmas uz ziņošanu par apstiprinātu govju enzootiskās leikozes gadījumu.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15. aprīļa Īstenošanas regula (ES) 2021/620, ar ko nosaka noteikumus par Eiropas Parlamenta un Padomes Regulas (ES) 2016/429 piemērošanu saistībā ar statusa "brīvs no slimības" un "neveic vakcināciju" apstiprināšanu noteiktām dalībvalstīm vai to zonām vai nodalījumiem attiecībā uz noteiktām sarakstā norādītām slimībām, kā arī apstiprina šo sarakstā norādīto slimību izskaušanas programmas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2021/620 IV pielikuma I daļas 11. rinda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un 28.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6.2. apakšpunkts, 24.</w:t>
            </w:r>
            <w:r w:rsidR="00000000" w:rsidRPr="00000000" w:rsidDel="00000000">
              <w:rPr>
                <w:sz w:val="24"/>
                <w:vertAlign w:val="superscript"/>
                <w:rtl w:val="0"/>
              </w:rPr>
              <w:t xml:space="preserve">1</w:t>
            </w:r>
            <w:r w:rsidR="00000000" w:rsidRPr="00000000" w:rsidDel="00000000">
              <w:rPr>
                <w:sz w:val="24"/>
                <w:rtl w:val="0"/>
              </w:rPr>
              <w:t xml:space="preserve">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minētās regulas 2021/620 normas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9. marta Regula (ES) 2016/429 par pārnēsājamām dzīvnieku slimībām un ar ko groza un atceļ konkrētus aktus dzīvnieku veselības jomā ("Dzīvnieku veselības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6.–13., 14.–22., 25., 26., 28., 30. un 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 1.12., 7.1. apakšpunkts, 7.</w:t>
            </w:r>
            <w:r w:rsidR="00000000" w:rsidRPr="00000000" w:rsidDel="00000000">
              <w:rPr>
                <w:sz w:val="24"/>
                <w:vertAlign w:val="superscript"/>
                <w:rtl w:val="0"/>
              </w:rPr>
              <w:t xml:space="preserve">1</w:t>
            </w:r>
            <w:r w:rsidR="00000000" w:rsidRPr="00000000" w:rsidDel="00000000">
              <w:rPr>
                <w:sz w:val="24"/>
                <w:rtl w:val="0"/>
              </w:rPr>
              <w:t xml:space="preserve">, 8., 9. punkts, 10.1., 10.2.1.–10.2.3., 13.2., 13.3. apakšpunkts, 14. un 16. punkts, III. nodaļas nosaukums, 17.–20. punkts, 20.1. un 20.3. apakšpunkts, 23. un 24. punkts, 24.</w:t>
            </w:r>
            <w:r w:rsidR="00000000" w:rsidRPr="00000000" w:rsidDel="00000000">
              <w:rPr>
                <w:sz w:val="24"/>
                <w:vertAlign w:val="superscript"/>
                <w:rtl w:val="0"/>
              </w:rPr>
              <w:t xml:space="preserve">1</w:t>
            </w:r>
            <w:r w:rsidR="00000000" w:rsidRPr="00000000" w:rsidDel="00000000">
              <w:rPr>
                <w:sz w:val="24"/>
                <w:rtl w:val="0"/>
              </w:rPr>
              <w:t xml:space="preserve">4. apakšpunkts, 24.</w:t>
            </w:r>
            <w:r w:rsidR="00000000" w:rsidRPr="00000000" w:rsidDel="00000000">
              <w:rPr>
                <w:sz w:val="24"/>
                <w:vertAlign w:val="superscript"/>
                <w:rtl w:val="0"/>
              </w:rPr>
              <w:t xml:space="preserve">3</w:t>
            </w:r>
            <w:r w:rsidR="00000000" w:rsidRPr="00000000" w:rsidDel="00000000">
              <w:rPr>
                <w:sz w:val="24"/>
                <w:rtl w:val="0"/>
              </w:rPr>
              <w:t xml:space="preserve">. un 24.</w:t>
            </w:r>
            <w:r w:rsidR="00000000" w:rsidRPr="00000000" w:rsidDel="00000000">
              <w:rPr>
                <w:sz w:val="24"/>
                <w:vertAlign w:val="superscript"/>
                <w:rtl w:val="0"/>
              </w:rPr>
              <w:t xml:space="preserve">4</w:t>
            </w:r>
            <w:r w:rsidR="00000000" w:rsidRPr="00000000" w:rsidDel="00000000">
              <w:rPr>
                <w:sz w:val="24"/>
                <w:rtl w:val="0"/>
              </w:rPr>
              <w:t xml:space="preserve"> punkts un 24.</w:t>
            </w:r>
            <w:r w:rsidR="00000000" w:rsidRPr="00000000" w:rsidDel="00000000">
              <w:rPr>
                <w:sz w:val="24"/>
                <w:vertAlign w:val="superscript"/>
                <w:rtl w:val="0"/>
              </w:rPr>
              <w:t xml:space="preserve">4</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31.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880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31. panta 2. punkts paredz rīcības brīvību dalībvalstij, kura nav brīva no vienas vai vairākām 9. panta 1. punkta "c" apakšpunktā minētajām sarakstā norādītajām slimībām vai par kuru nav zināms, ka tā ir brīva no šīm slimībām, un kura nolemj izveidot sarakstā norādītās slimības izskaušanai paredzētu programmu, kas īstenojama konkrētās slimības skartajās dzīvnieku populācijās un aptver šo valstu teritorijas attiecīgās daļas vai tās zonas vai nodalījumus ("fakultatīva izskaušanas programma"), īstenot šādas slimības kontroles un izskaušanas pasākumus, lai Savienībā (tirdzniecībā starp dalībvalstīm) iegūtu dzīvnieku veselības garantijas attiecībā uz dzīvnieku vai produktu pārvietošanu. Govju enzootiskā leikoze saskaņā ar regulas 2018/1882 pielikuma 23. rindu ir iekļauta C + D + E kategorijas infekcijas slimību sarakstā, kuras kontroles pasākumu īstenošanai dalībvalsts izstrādā fakultatīvo izskaušanas programmu. Tā kā Latvija saskaņā ar regulas 2021/620 VIII pielikuma I daļas 11. rindu ir iekļauta dalībvalstu vai to zonu sarakstā, kurām ir statuss "brīva no govju enzootiskās leikozes (EBL)", ir lietderīgi arī turpmāk noteikt kārtību, kādā Latvija saglabā šo statusu vai atgūst pēc tā zaudēšanas.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Pārtikas drošības, dzīvnieku veselības un vides zinātniskais institūts "Bior",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https://vktap.mk.gov.lv/public_participations/public_discussions/63eb6b6a-e7a8-4f59-a685-07abde8a6d06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atzinums no Latvijas Veterinārārstu biedrības. Informāciju par atzinumu skatīt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tiek paplašināts pildāmo valsts pārvaldes uzdevumu daudzums, pārņemot tos, ko līdz šim pildīja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un Pārtikas drošības, dzīvnieku veselības un vides zinātniskā institūtam "BIOR" noteiktie uzdevumi pēc būtības nemainās.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24-TA-2391</w:t>
    </w:r>
    <w:r>
      <w:br/>
    </w:r>
    <w:r w:rsidR="00000000" w:rsidRPr="00000000" w:rsidDel="00000000">
      <w:rPr>
        <w:rtl w:val="0"/>
      </w:rPr>
      <w:t xml:space="preserve">Izdrukāts 29.07.2026. 22.34 - 2.0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24-TA-2391</w:t>
    </w:r>
    <w:r>
      <w:br/>
    </w:r>
    <w:r w:rsidR="00000000" w:rsidRPr="00000000" w:rsidDel="00000000">
      <w:rPr>
        <w:rtl w:val="0"/>
      </w:rPr>
      <w:t xml:space="preserve">Izdrukāts 29.07.2026. 22.34 - 2.0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anotācija_(ex_ante)_24-TA-2391.docx</dc:title>
</cp:coreProperties>
</file>

<file path=docProps/custom.xml><?xml version="1.0" encoding="utf-8"?>
<Properties xmlns="http://schemas.openxmlformats.org/officeDocument/2006/custom-properties" xmlns:vt="http://schemas.openxmlformats.org/officeDocument/2006/docPropsVTypes"/>
</file>