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 (turpmāk – noteikumu projekts) izstrādāts, pamatojoties uz Eiropas Savienības fondu 2021.- 2027.gada plānošanas perioda vadības likuma 19. panta 6. un 13. punktu. Noteikumu projekta ietvaros tiks sniegts atbalsts pašvaldībām jaunu pirmsskolas izglītības iestāžu (turpmāk – PII) būvniecībai, esošo PII paplašināšanai (piebūvju būvniecībai) vai esošu ēku atjaunošanai vai pārbūvei, pielāgojot tās pirmsskolas izglītības pakalpojuma sniegšanai pirmsskolas vecuma bērnu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attīstīt pašvaldību pirmsskolas izglītības iestāžu infrastruktūru jaunu vietu izveidei pirmsskolas vecuma bērnu uzņemšanai, lai vienlīdzīgas pieejas PII principa nodrošināšanas ietvaros veicinātu pašvaldību pirmsskolas izglītības pakalpojumu pieejamību, tai skaitā sociāli un ekonomiski mazaizsargātajām personu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Reģionālās politikas pamatnostādnēm 2021.–2027. gadam kā viens no galvenajiem izvirzītajiem politikas mērķiem ir pakalpojumu efektivitātes uzlabošana un nodrošināšana reģionos atbilstoši demogrāfiskajiem izaicinājumiem, kuru risināšanā viens no būtiskiem aspektiem ir nodrošināt teritoriju specifikai atbilstošus risinājumus apdzīvojuma un kvalitatīvas dzīves vides attīstībai, ievērojot, ka iedzīvotāju skaita izmaiņas pēdējos 10 gados būtiski atšķiras reģionāli – Pierīgas statistiskajā reģionā iedzīvotāju skaits ir samazinājies tikai par 1%, kamēr Latgales statistiskajā reģionā par 20%. Iedzīvotāju skaits ietekmē arī pašvaldību ieņēmumus un iespējas nodrošināt iedzīvotājiem pakalpojumus, radot atšķirīgus izaicinājumus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iedzīvotāju skaita samazināšanos reģionos, būtiski ir pārskatīt un padarīt efektīvāku pakalpojumu tīklu. Vienlaikus izaicinājumi starp teritorijām ir atšķirīgi – teritorijās, kur samazinās iedzīvotāju skaits, jāveido risinājums pakalpojumu uzturēšanas izmaksu samazināšanai uz klientu, savukārt teritorijās, kur pieaug iedzīvotāju skaits, jāpalielina pakalpojuma pieejamība un kvalitāte, tai skaitā pašvaldību PII pieejamībai. Tāpēc būtiski rast risinājumus gan pakalpojumu nodrošināšanai iedzīvotājiem atbilstoši demogrāfijas izaicinājumiem, gan pakalpojumu sasniedzamības  un dzīves vides uzlabošanai atbilstoši teritorijas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sniegtajiem datiem Vides aizsardzības un reģionālās attīstības ministrija (turpmāk – VARAM) vienu reizi gadā apkopo informāciju par pirmsskolas vecuma bērnu skaitu rindā uz pašvaldības PII, kas tiek publicēta VARAM tīmekļvietnē (https://www.varam.gov.lv/lv/pirmsskolas-izglitibas-iestazu-pieejamiba) vai citā tīmekļvietnē atbilstoši aktuālajam normatīvajam regulējumam par informācijas publicēšanu par pirmsskolas vecuma bērnu skaitu pašvaldībās. Apkopojot pašvaldību iesniegtos datus, secināms, ka uz 2022. gada 1. oktobri kopumā 21 pašvaldībā rindā uz pašvaldības PII ir pavisam 6 868 bērni. Turklāt dažās pašvaldībās rindā ir 40-50% no visiem pirmsskolas vecuma bērniem. Vislielākā šī problēma ir Rīgā un tās apkārtējās pašvaldībās, ņemot vērā, ka pēdējo 10 gadu laikā Rīgā un Pierīgā ir būtiski palielinājies līdz četru gadu vecu bērnu skaits Latvijas iedzīvotāju migrācijas uz Rīgu un tās apkārtni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pašvaldību autonomajām funkcijām saskaņā ar Pašvaldību likuma 4.panta pirmās daļas 4.punktu ir gādāt par iedzīvotāju izglītību, tostarp nodrošināt iespēju iegūt obligāto izglītību un gādāt par pirmsskolas izglītības, vidējās izglītības, profesionālās ievirzes izglītības, interešu izglītības un pieaugušo izglītības pieejamību. Lai veicinātu pašvaldību iespējas uzņemties aktīvāku lomu ģimenēm labvēlīgākas vides veidošanā savā administratīvajā teritorijā, kā arī palīdzētu pašvaldībām risināt esošās nepilnības un būtiski samazināt rindu, nepieciešams investēt PII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 ir izglītības, vispārējās izglītības pirmā pakāpe, kas nodrošina bērnu sagatavošanu skolai, aptverot individualitātes veidošanos, garīgo, fizisko un sociālo attīstību, iniciatīvas, zinātkāres, patstāvības un radošās darbības attīstību, veselības nostiprināšanu, psiholoģisko sagatavošanu skolai, kā arī valsts valodas lietošanas pamatiemaņu apguvi. Saskaņā ar Izglītības likuma 4. pantu un Vispārējās izglītības likuma 20</w:t>
      </w:r>
      <w:r w:rsidR="00000000" w:rsidRPr="00000000" w:rsidDel="00000000">
        <w:rPr>
          <w:vertAlign w:val="superscript"/>
          <w:rtl w:val="0"/>
        </w:rPr>
        <w:t xml:space="preserve">1</w:t>
      </w:r>
      <w:r w:rsidR="00000000" w:rsidRPr="00000000" w:rsidDel="00000000">
        <w:rPr>
          <w:rtl w:val="0"/>
        </w:rPr>
        <w:t xml:space="preserve">. panta 1. punktu bērnu izglītošana Latvijā no piecu gadu vecuma ir obligāta, savukārt iepriekš minētā likuma 21. pants nosaka, ka  “vietējās pašvaldības savā administratīvajā teritorijā nodrošina vienlīdzīgu pieeju pirmsskolas izglītības iestādēm bērniem no pusotra gada vecuma”.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sniegt atbalstu pašvaldībām jaunu PII būvniecībai, esošo PII paplašināšanai (piebūvju būvniecībai) vai esošu ēku atjaunošanai vai pārbūvei, pielāgojot tās pirmsskolas izglītības pakalpojuma sniegšanai pirmsskolas vecuma bērnu uzņemšanai un veicinot pašvaldību iespējas uzņemties aktīvāku lomu ģimenēm labvēlīgākas vides veidošanā savā administratīvajā teritorijā, palīdzot risināt nepilnības pirmsskolas izglītības pakalpojuma pieejamības jomā, kā arī veicinot pirmsskolas izglītības kvalitāti un radot vienlīdzīgas iespējas vecākiem pilnvērtīgi iesaistīties darba tirgū un apmācībās.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maksimālais Eiropas Reģionālās attīstības fonda (turpmāk – ERAF) finansējums vienas jaunas vietas izveidei pašvaldības PII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1. 24 200 </w:t>
      </w:r>
      <w:r w:rsidR="00000000" w:rsidRPr="00000000" w:rsidDel="00000000">
        <w:rPr>
          <w:i w:val="1"/>
          <w:rtl w:val="0"/>
        </w:rPr>
        <w:t xml:space="preserve">euro</w:t>
      </w:r>
      <w:r w:rsidR="00000000" w:rsidRPr="00000000" w:rsidDel="00000000">
        <w:rPr>
          <w:rtl w:val="0"/>
        </w:rPr>
        <w:t xml:space="preserve"> – ja projekta ietvaros tiek veikta jaunas pašvaldības PII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2. 17 424 </w:t>
      </w:r>
      <w:r w:rsidR="00000000" w:rsidRPr="00000000" w:rsidDel="00000000">
        <w:rPr>
          <w:i w:val="1"/>
          <w:rtl w:val="0"/>
        </w:rPr>
        <w:t xml:space="preserve">euro</w:t>
      </w:r>
      <w:r w:rsidR="00000000" w:rsidRPr="00000000" w:rsidDel="00000000">
        <w:rPr>
          <w:rtl w:val="0"/>
        </w:rPr>
        <w:t xml:space="preserve"> – ja projekta ietvaros tiek veikta esoša pašvaldības PII piebūves būvniecība, esošas ēkas atjaunošana vai pārbūve, pielāgojot to pirmsskolas izglītības pakalpojuma sniegšanai, tai skaitā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maksimālie limiti ir noteikti, par pamatu ņemot Ministru kabineta (turpmāk – MK) 2021.gada 14.decembra noteikumus Nr.834 “Kārtība, kādā izvērtē pašvaldību investīciju projektus jaunu pirmsskolas izglītības iestāžu būvniecībai vai esošo pirmsskolas izglītības iestāžu paplašināšanai”. Minēto MK noteikumu 3.punktā noteikts, ka jaunas PII būvniecībai vai esošas PII paplašināšanai valsts budžeta maksimālais atbalsts vienas vietas izveidei nepārsniedz 22 000 </w:t>
      </w:r>
      <w:r w:rsidR="00000000" w:rsidRPr="00000000" w:rsidDel="00000000">
        <w:rPr>
          <w:i w:val="1"/>
          <w:rtl w:val="0"/>
        </w:rPr>
        <w:t xml:space="preserve">euro</w:t>
      </w:r>
      <w:r w:rsidR="00000000" w:rsidRPr="00000000" w:rsidDel="00000000">
        <w:rPr>
          <w:rtl w:val="0"/>
        </w:rPr>
        <w:t xml:space="preserve"> jaunas PII būvniecībai un ar to saistīto būvju būvdarbiem un 15 840 </w:t>
      </w:r>
      <w:r w:rsidR="00000000" w:rsidRPr="00000000" w:rsidDel="00000000">
        <w:rPr>
          <w:i w:val="1"/>
          <w:rtl w:val="0"/>
        </w:rPr>
        <w:t xml:space="preserve">euro</w:t>
      </w:r>
      <w:r w:rsidR="00000000" w:rsidRPr="00000000" w:rsidDel="00000000">
        <w:rPr>
          <w:rtl w:val="0"/>
        </w:rPr>
        <w:t xml:space="preserve"> citos gadījumos, kas nav saistīti ar jaunas PII būvniecību - esošo ēku pārbūves un paplašināšanas gadījumos. Ņemot vērā būvniecības izmaksu sadārdzinājumu, šiem atbalsta limita apmēriem tika piemērots 10%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dzīves cikls (ieguldījumu lietderīgais izmantošanas laiks jeb infrastruktūras amortizācijas periods) tiek noteikts atbilstoši Komisijas 2014.gada 3.marta </w:t>
      </w:r>
      <w:r w:rsidR="00000000" w:rsidRPr="00000000" w:rsidDel="00000000">
        <w:rPr>
          <w:i w:val="1"/>
          <w:rtl w:val="0"/>
        </w:rPr>
        <w:t xml:space="preserve">Deleģētās Regulas (ES)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r w:rsidR="00000000" w:rsidRPr="00000000" w:rsidDel="00000000">
        <w:rPr>
          <w:rtl w:val="0"/>
        </w:rPr>
        <w:t xml:space="preserve"> I pielikumam “15. panta 2. punktā minētie pārskata periodi”, kas piemērojams atkarībā no projekta ieguldījuma jomas. Saskaņā ar minētās regulas I pielikumu citas nozares projekta pārskata periods jeb dzīves cikls ir noteikts 10 –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rezultāta rādītāju – personu skaits, kas lieto jaunas vai modernizētas PII mācību telpas – tika pieņemts, ka objektīvu apstākļu dēļ izbūvētā PII kapacitāte var netikt 100% izmantota, tāpēc, ņemot vērā pasākumam paredzēto finansējumu, rādītājs tika proporcionāli samazināts uz 1 016 personām, pieņemot, ka jaunu vai modernizētu PII mācību telpu kapacitāte ir 95% gadā. Šis rādītājs neattiecas uz skolotājiem, vecākiem, palīgpersonālu vai citām personām, kuras arī var izmantot šo PII. Ģimenes, kuru bērniem netiek nodrošināta vieta pašvaldības PII, ir sociāli nevienlīdzīgākā situācijā, jo tām no saviem finanšu līdzekļiem ir jāsedz starpība, kas veidojas par privātajiem pirmsskolas izglītības pakalpojumiem. Vienlaikus, ievērojot, ka pasākuma īstenošana paredzēta 4. politikas mērķa “Sociālāka Eiropa” ietvaros, noteikumu projekts paredz, ka pašvaldības saistošajos noteikumos par pirmsskolas vecuma bērnu uzņemšanu rindā uz pašvaldības PII izvērtēs iespēju paredzēt priekšrocības uzņemšanai PII pirmsskolas vecuma bērniem no sociāli un ekonomiski mazaizsargātajām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finansējums tiks piešķirts pašvaldībām, kurās uz projekta iesnieguma iesniegšanas brīdi attiecīgajā mācību gada 1.oktobrī saskaņā ar VARAM apkopoto un VARAM tīmekļvietnē vai citā tīmekļvietnē atbilstoši aktuālajam normatīvajam regulējumam par informācijas publicēšanu par pirmsskolas vecuma bērnu skaitu pašvaldībās publicēto aktuālo informāciju pirmsskolas vecuma bērnu skaits rindā uz pašvaldības PII ir lielāks par 100, un attiecīgās pašvaldības teritoriālā iedalījuma vienībā, kurā ir plānots īstenot jaunas pašvaldības PII vai piebūves būvniecību, pirmsskolas vecuma bērnu skaits rindā uz vietu PII ir lielāks par 50. Esošas ēkas atjaunošanas vai pārbūves gadījumā, pielāgojot to pirmsskolas izglītības pakalpojuma sniegšanai, pašvaldības teritoriālā iedalījuma vienībā bērnu skaits rindā uz vietu PII ir lielāks par 25. Saskaņā ar Administratīvo teritoriju un apdzīvoto vietu likuma 5. pantu novada teritoriālais iedalījums iedalās pilsētās un pagastos.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atbalstu var saņemt pašvaldības, kuras 2029.gadā ir plānots apvienot saskaņā ar Administratīvo teritoriju un apdzīvoto vietu likumu un kurās uz attiecīgā mācību gada 1.oktobri abās pašvaldībās kopā pirmsskolas vecuma bērnu skaits rindā uz pašvaldību PII ir lielāks par 100 (atbilstoši VARAM tīmekļvietnē vai citā tīmekļvietnē atbilstoši aktuālajam normatīvajam regulējumam par informācijas publicēšanu par pirmsskolas vecuma bērnu skaitu pašvaldībās publicētajiem datiem), un projektu plānots īstenot novada pašvaldības teritoriālajā vienībā, kas robežojas ar valstspilsētas pašvaldību, projekta iesniegumā pamatojot PII nepieciešamību konkrētajā teritoriālajā vienībā. Iesniedzot projekta iesniegumu, projekta iesniedzējam ir jāpievieno abu apvienojamo pašvaldību domes lēmumi, ar ko tiek saskaņota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ERAF finansējuma īpatsvars no kopējām attiecināmajām izmaksām projekta iesniegumā norādītajai attiecināmajai izmaksu pozīcijai nepārsniedz 85 procentus, Rīgas plānošanas reģiona pašvaldībām vai to iestādēm, kurām, ievērojot Eiropas Savienības kohēzijas politikas programmas 2021.-2027. gadam 273. rindkopā noteikto par reģionālās attīstības atšķirību mazināšanu, paredzēts, ka ERAF finansējuma īpatsvars no kopējām attiecināmajām izmaksām nepārsniedz 75 procentus no projekta kopējām attiecināmajām izmaksām. Atbilstoši MK 2021. gada 22. jūnija noteikumiem Nr. 418 “Noteikumi par plānošanas reģionu teritorijām” Rīgas plānošanas reģionā ietilpst: Rīga, Jūrmala, Ādažu novads, Ķekavas novads, Mārupes novads, Olaines novads, Ropažu novads, Salaspils novads, Siguldas novads.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2020.gada pašvaldībām ir iespējas saņemt valsts budžeta aizņēmumus jaunu PII būvniecībai vai esošu PII paplašināšanai. 2020.-2022.gadā, pateicoties valsts budžeta aizdevumiem, kopumā 25 projekti ir īstenoti vai vēl turpinās to īstenošana. Kopējais valsts budžeta aizdevumu apmērs ir 37 848 722,22 </w:t>
      </w:r>
      <w:r w:rsidR="00000000" w:rsidRPr="00000000" w:rsidDel="00000000">
        <w:rPr>
          <w:i w:val="1"/>
          <w:rtl w:val="0"/>
        </w:rPr>
        <w:t xml:space="preserve">euro</w:t>
      </w:r>
      <w:r w:rsidR="00000000" w:rsidRPr="00000000" w:rsidDel="00000000">
        <w:rPr>
          <w:rtl w:val="0"/>
        </w:rPr>
        <w:t xml:space="preserve">. Īstenojot minētos 25 projektus, pašvaldību PII radītas vai tiks vēl radītas 3 144 jaunas vietas. Demarkācija ar valsts budžeta aizdevumu un citu atbalsta programmu ietvaros sniegto atbalstu jaunu vietu radīšanai PII un dubultās finansēšanas risku novēršana tiks nodrošināta projektu līmenī, pārbaudot Kohēzijas politikas fondu vadības informācijas sistēmu un VARAM valsts budžeta aizdevuma programmas ietvaros iesniegtos projektus un pārliecinoties, ka vienas un tās pašas atbalstāmās darbības un attiecināmās izmaksas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 ir pašvaldība vai tās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paredz pašvaldības attīstības programmā, kurā sniedz arī prognozi par pirmsskolas vecuma bērnu skaitu turpmākajos piecos gados novada teritoriālo vienību vai valstspilsētu noteikto teritoriālo iedalījumu (apkaimju, mikrorajonu, u.c.) griezumā un izvērtē PII pakalpojumu sniegšanas risinājumu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 kas ir saistītas ar atbalstu pašvaldībām jaunu PII būvniecībai, esošo PII paplašināšanai (piebūvju būvniecībai) vai esošu ēku pārbūvei, pielāgojot tās pirmsskolas izglītības pakalpojuma sniegšanai pirmsskolas vecuma bērnu uzņemšanai, tai skaitā energoefektivitātes pasākumi, infrastruktūras funkcionalitātes un drošības uzlabošana, “zaļās” infrastruktūras elementu izmantošana un citi pirmsskolas izglītības pieejamību veicinoši risinājumi, kā, piemēram, vides pieejamības uzlabošana un teritorijas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projektu īstenošanas ietvaros tiks nodrošināta vides un informācijas pieejamība, nediskriminācija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īstenošanas nosacījumi, tostarp projekta īstenošanas termiņš,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PII infrastruktūras attīstībai atbalsts tiks sniegts granta veidā, ņemot vērā, ka plānotās darbības īstenos pašvaldības, kuru viena no funkcijām saskaņā ar Pašvaldību likuma 4.panta pirmās daļas 4. punktu ir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PII attīstības projektiem nevajadzētu nodarīt būtisku kaitējumu sešiem vides mērķiem Eiropas Parlamenta un Padomes 2020. gada 18.jūnija Regulas (ES) Nr. 2020/852 par regulējuma izveidi ilgtspējīgu ieguldījumu veicināšanai un ar ko groza Regulu (ES) 2019/2088 17. panta izpratnē, proti, projekta iesniedzējs nodrošina, ka projekts atbilst principam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mazināšanai,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ietvaros tiks nodrošināta zaļā publiskā iepirkuma prasību ievērošana. Veicot iepirkuma procedūru, projektu iesniedzējiem jāpiemēro zaļā publiskā iepirkuma principi un prasības saskaņā ar MK 2017.gada 20.jūnija noteikumiem Nr.353 “Prasības zaļajam publiskajam iepirkumam un to piemērošanas kārtība”,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ietvaros būs iespējams saņemt atbalstu teritorijas labiekārtošanas darbiem, piemēram, koku stādīšanai, apzaļumošanai, ko projektā varēs iekļaut, paredzot “zaļās” zonas ierīkošanu PII audzēkņu atpūtas un/vai mācību vajadzībām, tādējādi nodrošinot zaļu un ilgtspējīgas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saskaņā ar Eiropas Komisijas 2020. gada 14. oktobra paziņojumu “Eiropas Renovācijas vilnis - par zaļākām ēkām, jaunām darbvietām un labāku dzīvi” prioritāri tiek noteikts esošo pašvaldību ēku atjaunošanas vai pārbūves būvniecība. Atbalstāmi ir energoefektivitātes paaugstināšanas pasākumi, kas paredz enerģijas ietaupījumu vai pāreju uz atjaunojamiem energoresursiem, vai pasākumus, kas kopumā vai daļēji ir aizstājami ar izmaksefektīviem, tehniski, ekonomiski un videi nekaitīgiem alternatīviem pasākumiem,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lai neizraisītu pašreizējā klimata un gaidāmā klimata nelabvēlīgās ietekmes palielināšanos uz pašu darbību vai uz cilvēkiem,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viens no prognozētajiem klimata pārmaiņu izraisītajiem riskiem būvniecībā ir iekštelpu pārkaršana, tiks atbalstīti ēku būvniecības projektos iekļautie telpu dzesēšanas un ventilācijas risinājumi. Prasība attiecībā uz publisko ēku ventilāciju  ir pārņemta nacionālajos normatīvajos aktos, saskaņā ar MK 2015. gada 16. jūnija noteikumos Nr. 310 "Noteikumi par Latvijas būvnormatīvu LBN 231-15 "Dzīvojamo un publisko ēku apkure un ventilācija"" noteikto, un to kontrolē būvuzraugs;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Ilgtspējīgai ūdens un jūras resursu izmantošanai un aizsardzībai, lai nekaitētu ūdensobjektu labam stāvoklim vai to labam ekoloģiskajam potenciālam, ieskaitot virszemes ūdeņus un gruntsūdeņus, vai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iesniedzējiem jāizvērtē tādu risinājumu ieviešanu un ūdens resursu lietošanu, kas, ievērojot Ūdens apsaimniekošanas likumā u.c. normatīvajos aktos noteiktās prasības atbilstoši plānotajiem pasākumiem, veicinātu ilgtspējīgu un racionālu ūdens resursu lietošanu, uzlabotu ūdens vides aizsardzību, piemēram, izbūvējot lietus ūdeņu savākšanas un novadīšanas sistēmas, plānot ūdenscaurlaidīgus segumus (ietvēm, laukumiem), lai mazinātu applūšanas riskus spēcīgu lietusgāžu gadījumā, nodrošinot virsūdeņu savākšanu un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ekonomikai, ieskaitot atkritumu rašanās novēršanu un to reciklēšanu, lai neradītu būtisku neefektivitāti materiālu izmantošanā vai dabas resursu tiešā vai netiešā izmantošanā, vai lai nepalielinātu atkritumu rašanos, sadedzināšanu vai apglabāšanu, vai lai atkritumu ilgtermiņa apglabāšana neradītu būtisku un ilgtermiņa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Eiropas Parlamenta un Padomes 2018. gada 30. maija Direktīvā 2018/851/ES, ar ko groza Direktīvu 2008/98 par atkritumiem noteiktos mērķus, projektu iesniedzējiem kopā ar projekta iesniegumu nepieciešams iesniegt apliecinājumus par to, ka tiks ievērotas MK 2021.gada 26.oktobra noteikumos Nr.712 “Atkritumu dalītas savākšanas, sagatavošanas atkārtotai izmantošanai, pārstrādes un materiālu reģenerācijas noteikumi” 6. punktā un MK noteikumu Nr.353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 ietvaros nav paredzētas investīcijas atkritumu apglabāšanai, mehāniski bioloģiskajai apstrādei vai atkritumu sadedzināšanai;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novēršanai un kontrolei, lai neradītu pieaugumu piesārņotāju emisijām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iesniedzējiem, izvēloties veikt ieguldījumus infrastruktūrā, t.sk. būvniecībā vai teritoriju labiekārtošanā, projektu iesniedzēji tiks aicināti izvērtēt tādu infrastruktūras uzlabošanas attīstības risinājumu pielietošanu, kas novērstu piesārņojuma rašanos. Pasākums neradīs ievērojamu piesārņojošo vielu emisiju pieaugumu gaisā, ūdenī vai zemē, mazinot piesārņojošo vielu nokļūšanu virszemes ūdeņos. Tiks ievēroti visi atbilstošie vides aizsardzības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 ietvaros būs iespējams saņemt atbalstu teritorijas labiekārtošanas darbiem, piemēram, koku stādīšanai, apzaļumošanai, ko projektā varēs iekļaut, paredzot “zaļās” zonas ierīkošanu PII audzēkņu atpūtas un/vai mācību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nav paredzams, ka pasākums būtiski palielinās piesārņotāju emisijas gaisā, noteikumu projekta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būvniecības procesā ietekmi plānots mazināt, atbalstot zaļā publiskā iepirkuma piemērošanu - tiks ievēroti zaļā publiskā iepirkuma principi, veicot iepirkuma procedūru būvniecības darbiem saskaņā ar prasībām zaļajam publiskajam iepirkumam un to piemērošanas kārtību. Infrastruktūras attīstības vai būvniecības procesa laikā tiks veikti nacionālā likumdošanā paredzētie pasākumi trokšņa, putekļu un piesārņotāju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aizsardzībai un atjaunošanai, lai tā nekaitētu ekosistēmu labam stāvoklim un izturēt spējai vai kaitē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jaunu pašvaldību PII būvniecība netiek plānota īpaši aizsargājamajās dabas teritorijās, kur nepieciešams nodrošināt Eiropas Savienības (turpmāk – ES) nozīmes dzīvotņu un sugu aizsardzību, nodrošinot biotopiem un sugām labvēlīgu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pasākums “Pirmsskolas izglītības iestāžu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pasākums “Pirmsskolas izglītības iestāžu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pašvaldību PII infrastruktūru, tiks radītas jaunas vietas un samazināta rinda uz pašvaldības PII pirmsskolas vecuma bērniem.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vai to izveidotas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izveidotām iestādēm, īstenojot projektus, ir jāņem vērā noteikumu projektā noteiktais pieejamais ERAF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4 360 035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6 540 052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4 360 035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6 540 052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5 129 453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7 694 179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4 360 035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6 540 052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-1 154 127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līdz 2025. gada 31. decembrim ir ne mazāks kā 25 647 264 euro, tai skaitā ERAF finansējums 21 800 174 </w:t>
            </w:r>
            <w:r w:rsidR="00000000" w:rsidRPr="00000000" w:rsidDel="00000000">
              <w:rPr>
                <w:sz w:val="24"/>
                <w:i w:val="1"/>
                <w:rtl w:val="0"/>
              </w:rPr>
              <w:t xml:space="preserve">euro</w:t>
            </w:r>
            <w:r w:rsidR="00000000" w:rsidRPr="00000000" w:rsidDel="00000000">
              <w:rPr>
                <w:sz w:val="24"/>
                <w:rtl w:val="0"/>
              </w:rPr>
              <w:t xml:space="preserve"> un pašvaldību finansējums ne mazāks kā 3 847 090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finansējumu plānots pēc 2025. gada 31. decembra, kura ietekme uz valsts budžetu plānota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attiecināmais finansējums ir ne mazāks kā 30 450 000 </w:t>
            </w:r>
            <w:r w:rsidR="00000000" w:rsidRPr="00000000" w:rsidDel="00000000">
              <w:rPr>
                <w:sz w:val="24"/>
                <w:i w:val="1"/>
                <w:rtl w:val="0"/>
              </w:rPr>
              <w:t xml:space="preserve">euro</w:t>
            </w:r>
            <w:r w:rsidR="00000000" w:rsidRPr="00000000" w:rsidDel="00000000">
              <w:rPr>
                <w:sz w:val="24"/>
                <w:rtl w:val="0"/>
              </w:rPr>
              <w:t xml:space="preserve">, tai skaitā ERAF finansējums 25 882 500 </w:t>
            </w:r>
            <w:r w:rsidR="00000000" w:rsidRPr="00000000" w:rsidDel="00000000">
              <w:rPr>
                <w:sz w:val="24"/>
                <w:i w:val="1"/>
                <w:rtl w:val="0"/>
              </w:rPr>
              <w:t xml:space="preserve">euro</w:t>
            </w:r>
            <w:r w:rsidR="00000000" w:rsidRPr="00000000" w:rsidDel="00000000">
              <w:rPr>
                <w:sz w:val="24"/>
                <w:rtl w:val="0"/>
              </w:rPr>
              <w:t xml:space="preserve"> (no tā elastības finansējums – 4 082 326 </w:t>
            </w:r>
            <w:r w:rsidR="00000000" w:rsidRPr="00000000" w:rsidDel="00000000">
              <w:rPr>
                <w:sz w:val="24"/>
                <w:i w:val="1"/>
                <w:rtl w:val="0"/>
              </w:rPr>
              <w:t xml:space="preserve">euro</w:t>
            </w:r>
            <w:r w:rsidR="00000000" w:rsidRPr="00000000" w:rsidDel="00000000">
              <w:rPr>
                <w:sz w:val="24"/>
                <w:rtl w:val="0"/>
              </w:rPr>
              <w:t xml:space="preserve">) un nacionālais finansējums (pašvaldību finansējums) – ne mazāks kā 4 567 500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pasākuma ERAF daļa 85 procentu apmērā – 25 882 500 </w:t>
            </w:r>
            <w:r w:rsidR="00000000" w:rsidRPr="00000000" w:rsidDel="00000000">
              <w:rPr>
                <w:sz w:val="24"/>
                <w:i w:val="1"/>
                <w:rtl w:val="0"/>
              </w:rPr>
              <w:t xml:space="preserve">euro</w:t>
            </w:r>
            <w:r w:rsidR="00000000" w:rsidRPr="00000000" w:rsidDel="00000000">
              <w:rPr>
                <w:sz w:val="24"/>
                <w:rtl w:val="0"/>
              </w:rPr>
              <w:t xml:space="preserve">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tai skaitā nepieciešamais ERAF finansējums 85% apmērā un pašvaldību finansējums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25 882 500 + 4 567 500 = 30 450 000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gadā: 20% jeb 5 129 453 </w:t>
            </w:r>
            <w:r w:rsidR="00000000" w:rsidRPr="00000000" w:rsidDel="00000000">
              <w:rPr>
                <w:sz w:val="24"/>
                <w:i w:val="1"/>
                <w:rtl w:val="0"/>
              </w:rPr>
              <w:t xml:space="preserve">euro</w:t>
            </w:r>
            <w:r w:rsidR="00000000" w:rsidRPr="00000000" w:rsidDel="00000000">
              <w:rPr>
                <w:sz w:val="24"/>
                <w:rtl w:val="0"/>
              </w:rPr>
              <w:t xml:space="preserve"> (25 647 264 / 100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30% jeb 7 694 179 </w:t>
            </w:r>
            <w:r w:rsidR="00000000" w:rsidRPr="00000000" w:rsidDel="00000000">
              <w:rPr>
                <w:sz w:val="24"/>
                <w:i w:val="1"/>
                <w:rtl w:val="0"/>
              </w:rPr>
              <w:t xml:space="preserve">euro</w:t>
            </w:r>
            <w:r w:rsidR="00000000" w:rsidRPr="00000000" w:rsidDel="00000000">
              <w:rPr>
                <w:sz w:val="24"/>
                <w:rtl w:val="0"/>
              </w:rPr>
              <w:t xml:space="preserve"> (25 647 264 / 100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17 626 368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piesaistot personālu uz darba līguma pamata vai nodrošinot projekta pasākumu īstenošanu ārpakalpojuma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pašvaldības, savukārt sabiedrību noteikumu projekts skar tikai pastarpināti.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un finanšu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attīstīta pašvaldību PII infrastruktūra jaunu vietu izveidei pirmsskolas vecuma bērnu uzņemšanai, lai veicinātu pašvaldības pirmsskolas izglītības pakalpojumu pieejamību pēc vienlīdzības principa, t.sk. sociāli un ekonomiski mazaizsargātajām personu grupām.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jānodrošina, ka projekts izpilda nepieciešamās prasības principa “Nenodarīt būtisku kaitējumu” ievērošanai un atbilst ES  kohēzijas politikas programmas 2021.–2027.gadam noteiktajiem ES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jāpiemēro zaļā publiskā iepirkuma principi un prasības saskaņā ar MK noteikumiem Nr.353.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attīstīta pašvaldību PII infrastruktūra, kas var ietvert “zaļās” infrastruktūras izmantošanu klimata risku ietekmes mazināšanai, kā arī var paredzēt aktivitātes, kas nodrošina klimata pārmaiņu mazināšanu - siltumnīcefekta gāzu emisiju samazināšana vai ēkas (būves) pieslēgšana efektīvai centralizētajai siltumapgādes sistēmai, vai atjaunojamo energoresursu tehnoloģiju ieviešana.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veicināta pašvaldību pirmsskolas izglītības pakalpojumu pieejamība, radot vienlīdzīgas iespējas vecākiem pilnvērtīgi iesaistīties darba tirgū un apmācībās.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ievērošanai. Noteikumu projektā paredzēts, ka finansējuma saņēmējs  uzkrāj datus par projekta ietekmi uz horizontālo principa rādītāju.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ievērošanai. Noteikumu projektā paredzēts, ka finansējuma saņēmējs  uzkrāj datus par projekta ietekmi uz horizontālo principa rādītāju.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22-TA-3540</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22-TA-3540</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anotācija_(ex_ante)_22-TA-3540.docx</dc:title>
</cp:coreProperties>
</file>

<file path=docProps/custom.xml><?xml version="1.0" encoding="utf-8"?>
<Properties xmlns="http://schemas.openxmlformats.org/officeDocument/2006/custom-properties" xmlns:vt="http://schemas.openxmlformats.org/officeDocument/2006/docPropsVTypes"/>
</file>