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446 "Noteikumi par lauksaimniecības, lauku un zivsaimniecības saimnieciskās darbības veicēju aizdevumu programmu""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24. jūlija noteikumos Nr. 446 "Noteikumi par lauksaimniecības, lauku un zivsaimniecības saimnieciskās darbības veicēju aizdevumu programmu"" (turpmāk – MK noteikumi Nr. 446) sagatavots, jo 2024. gada 1. janvārī stājas spēkā Komisijas 2023. gada 13. decembra Regula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regula 2023/2831), kas aizstāj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regula Nr. 1407/2013), kuru atļauts piemērot līdz 2024. gada 30.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atbalsta piešķiršanas nepārtrauktību aizdevumu programmā.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446 spēkā esošajā redakcijā paredzēts </w:t>
      </w:r>
      <w:r w:rsidR="00000000" w:rsidRPr="00000000" w:rsidDel="00000000">
        <w:rPr>
          <w:i w:val="1"/>
          <w:rtl w:val="0"/>
        </w:rPr>
        <w:t xml:space="preserve">de minimis</w:t>
      </w:r>
      <w:r w:rsidR="00000000" w:rsidRPr="00000000" w:rsidDel="00000000">
        <w:rPr>
          <w:rtl w:val="0"/>
        </w:rPr>
        <w:t xml:space="preserve"> atbalsts par aizdevumu piešķiršanu saskaņā ar regulu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regulas Nr. 1407/2013 7. panta  4. punktam tā ir piemērojama līdz 2024. gada 30. jūnijam, nepieciešams aizstāt regulas Nr. 1407/2013 nosacījumus ar regulas 2023/2831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atbilstoši grozījumi noteikumos Nr. 446 saistībā ar aizdevuma atbalstu, kas paredzēts saskaņā ar regulu Nr. 1407/2013, to aizstājot ar regulu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446 10.4. apakšpunktā dodot saistīto personu definīciju, Komisijas 2014. gada 25. jūnija Regulas (ES) Nr. 702/2014, ar kuru konkrētas atbalsta kategorijas lauksaimniecības un mežsaimniecības nozarē un lauku apvidos atzīst par saderīgām ar iekšējo tirgu, piemērojot Līguma par Eiropas Savienības darbību 107. un 108. pantu, (turpmāk – regula Nr. 702/2014) nosacījumi ir papildināti ar Komisijas 2022. gada 14. decembra Regulas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nosacījumiem, jo regulas 2022/2472 62. pantā ir noteikta regulas Nr. 702/2014 aizstāšana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446 ir precizēts 10.5. apakšpunkts, nosakot, ka, īstenojot aizdevumu programmu, aizdevumu nepiešķir saimnieciskās darbības veicējam, ja tā dalībniekiem un saistītajām personām, kuras reģistrētas valstī vai teritorijā, kas minēta normatīvajos aktos par zemu nodokļu vai beznodokļu valstīm vai teritorijām, pieder vairāk nekā 25 procenti kapitāldaļu. Šis nosacījums ir ieviests, ņemot vērā Ministru kabineta 2021. gada 21. janvāra sēdē (protokols Nr. 8., 23.§, TA-2578) apstiprināto informatīvo ziņojumu "Par Eiropas Komisijas 2020. gada 14. jūlija Ieteikumu C(2020) 4885 "Par valsts finansiālā atbalsta piešķiršanu uzņēmumiem Savienībā atkarībā no tā, vai nepastāv saiknes ar jurisdikcijām, kas nesadarbojas"".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446 paredzētie grozījumi nav jāsaskaņo ar Eiropas Komisiju, jo nemainās finansējuma izmantošanas mērķis – finanšu instrumentu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noteikumu Nr. 446 10.1. apakšpunktā izdarīti, ievērojot Finanšu ministrijas sniegto skaidrojumu par Komisijas regulas Nr. 651/2014 2. panta 18. punkta "c" apakšpunkta piemērošanu. Tiek paredzēts, ka aizdevumu nepiešķir grūtībās nonākušam saimnieciskās darbības veicējam, kuram ir ierosināta tiesiskās aizsardzības procesa lieta, tiek īstenots tiesiskās aizsardzības process vai pasludināts maksātnespējas process vai kurš atbilst normatīvajos aktos noteiktiem kritērijiem, lai tam pēc kreditora pieprasījuma piemērotu maksātnespējas procedūru. Kritērijs "pasludināts maksātnespējas process" aptver arī tādus maksātnespējas stāvokļa risinājumus kā bankrots, sanācija un mierizlīgums un līdz ar to – tos maksātnespējas procesus, kas pasludināti saskaņā ar likumu "Par uzņēmumu un uzņēmējsabiedrību maksātnespēju" un Maksātnespējas likumu, kas bija spēkā līdz 2010. gada 1. novembrim. Informācija par to, vai atbalsta pretendents neatbilst normatīvajos aktos noteiktiem kritērijiem, lai tam pēc kreditora pieprasījuma piemērotu maksātnespējas procedūru tiek pārbaudīta, pamatojoties uz atbalsta pretendenta iesniegtu apliecinājumu, tāpēc atbalsta pretendentam kopā ar pieteikumu ir jāiesniedz attiecīgais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ar grozījumiem MK noteikumos Nr. 446 tie papildināti ar pielikumu "Riska likmes", kurā iekļautas piemērojamās riska procentu likmes atbilstoši Eiropas Komisijas paziņojumam "Par atsauces likmes un diskonta likmes noteikšanas metodes pārskatīšanu" (2008/C 14/02), attiecīgi arī precizējot MK noteikumu Nr. 446 17.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Izdarot grozījumus MK noteikumu Nr. 446 19.1. apakšpunktā, skaidrots, kādā veidā saimnieciskās darbības veicējs, kurš vienlaikus darbojas vienā vai vairākās atbalstāmajās nozarēs, kas šo noteikumu 11.4.–11.15. apakšpunktā noteiktas par aizliegtām, var pretendēt uz atbalstu: </w:t>
      </w:r>
      <w:r w:rsidR="00000000" w:rsidRPr="00000000" w:rsidDel="00000000">
        <w:rPr>
          <w:i w:val="1"/>
          <w:rtl w:val="0"/>
        </w:rPr>
        <w:t xml:space="preserve">de minimis</w:t>
      </w:r>
      <w:r w:rsidR="00000000" w:rsidRPr="00000000" w:rsidDel="00000000">
        <w:rPr>
          <w:rtl w:val="0"/>
        </w:rPr>
        <w:t xml:space="preserve"> atbalstu tādam saimnieciskās darbības veicējam drīkst piešķirt tikai tad, ja tas nodrošina šo nozaru darbību vai uzskaites nodalīšanu, lai darbības izslēgtajās nozarēs negūst labumu no </w:t>
      </w:r>
      <w:r w:rsidR="00000000" w:rsidRPr="00000000" w:rsidDel="00000000">
        <w:rPr>
          <w:i w:val="1"/>
          <w:rtl w:val="0"/>
        </w:rPr>
        <w:t xml:space="preserve">de minimis</w:t>
      </w:r>
      <w:r w:rsidR="00000000" w:rsidRPr="00000000" w:rsidDel="00000000">
        <w:rPr>
          <w:rtl w:val="0"/>
        </w:rPr>
        <w:t xml:space="preserve">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Attīstības finanšu institūcijas likuma 12. panta trešajā un ceturtajā daļā noteikto, Zemkopības ministrija apliecina, ka grozījumiem MK noteikumos Nr. 446 nav ietekmes uz jau iepriekš sagatavotajā programmas radītāju novērtējumā sniegto informāciju (kas tika sagatavota reizē ar grozījumiem MK noteikumos Nr. 446, kas Ministru kabinetā apstiprināti 2023. gada 19. decembrī), jo noteikumu projektā tiek paredzēti tehniskie grozījumi, t .i., tiek pārņemtas tikai jaunās vispārējās tautsaimniecības </w:t>
      </w:r>
      <w:r w:rsidR="00000000" w:rsidRPr="00000000" w:rsidDel="00000000">
        <w:rPr>
          <w:i w:val="1"/>
          <w:rtl w:val="0"/>
        </w:rPr>
        <w:t xml:space="preserve">de mimimis</w:t>
      </w:r>
      <w:r w:rsidR="00000000" w:rsidRPr="00000000" w:rsidDel="00000000">
        <w:rPr>
          <w:rtl w:val="0"/>
        </w:rPr>
        <w:t xml:space="preserve">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446 18.1. apakšpunktā ir noteikts, ka vienam vienotam uzņēmumam plānotais </w:t>
      </w:r>
      <w:r w:rsidR="00000000" w:rsidRPr="00000000" w:rsidDel="00000000">
        <w:rPr>
          <w:i w:val="1"/>
          <w:rtl w:val="0"/>
        </w:rPr>
        <w:t xml:space="preserve">de minimis</w:t>
      </w:r>
      <w:r w:rsidR="00000000" w:rsidRPr="00000000" w:rsidDel="00000000">
        <w:rPr>
          <w:rtl w:val="0"/>
        </w:rPr>
        <w:t xml:space="preserve"> atbalsts kopā ar iepriekš piešķirto atbalstu nepārsniedz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regulas 2023/2831 3. panta 2. punktā noteikto atbalsta maksimālo apmēru, ja aizdevumu piešķir saskaņā ar regulu 2023/2831. Ar trīs gadu periodu saprotams periods no konkrēta datuma, kad piešķirts pēdējais atbalsts līdz konkrētam datumam, kas ir jaunā piešķiramā atbalsta datums (piemēram, ja jaunā atbalsta piešķiršanas datums ir 2024. gada 18. jūnijs, trīs gadu periods būs skaitāms no 2021. gada 18. jūnija). Komisijas regulas 2023/2831 noteiktā </w:t>
      </w:r>
      <w:r w:rsidR="00000000" w:rsidRPr="00000000" w:rsidDel="00000000">
        <w:rPr>
          <w:i w:val="1"/>
          <w:rtl w:val="0"/>
        </w:rPr>
        <w:t xml:space="preserve">de minimis</w:t>
      </w:r>
      <w:r w:rsidR="00000000" w:rsidRPr="00000000" w:rsidDel="00000000">
        <w:rPr>
          <w:rtl w:val="0"/>
        </w:rPr>
        <w:t xml:space="preserve"> atbalsta apmēra aprēķināšanas metode atšķiras no Komisijas regulā Nr. 1408/2013 un Komisijas regulā Nr. 717/2014 paredzētā: atbilstoši Komisijas regulas 2023/2831 3. panta 2. punktam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atbalsta kopsumma vienam vienotam uzņēmumam nevienā trīs gadu periodā nepārsniedz 300 000 EUR. (Kopējais </w:t>
      </w:r>
      <w:r w:rsidR="00000000" w:rsidRPr="00000000" w:rsidDel="00000000">
        <w:rPr>
          <w:i w:val="1"/>
          <w:rtl w:val="0"/>
        </w:rPr>
        <w:t xml:space="preserve">de minimis</w:t>
      </w:r>
      <w:r w:rsidR="00000000" w:rsidRPr="00000000" w:rsidDel="00000000">
        <w:rPr>
          <w:rtl w:val="0"/>
        </w:rPr>
        <w:t xml:space="preserve"> atbalsts vienam vienotam uzņēmumam jebkurā trīs fiskālo gadu periodā atbilstoši Komisijas regulas Nr. 1408/2013 3. panta 2. punktam nepārsniedz 20 000 EUR un atbilstoši Komisijas regulas Nr. 717/2014 3. panta 2. punktam nepārsniedz 30 000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kā arī lauksaimniecības produktu pārstrādes uzņēmumi un uzņēmumi, kas nodarbojas ar saimniecisko darbību lauku apvidos: kopā aptuveni 2000 atbalsta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un juridiskas personas, kas nodarbojas ar lauksaimniecisko ražošanu, kā arī lauksaimniecības produktu pārstrādes uzņēmumi un uzņēmumi, kas nodarbojas ar saimniecisko darbību lauku apvidos: kopā aptuveni 2000 atbalsta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(EK)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tautsaimniecības ierobežota atbalsta apmēra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grupu atbrīvojuma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atbalsta apmēra regula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atbalsta apmēra regula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grupu atbrīvojuma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(EK)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“b”, “c”, “d”, “e” un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5., 10., 13.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programmas mērķis ir veicināt iedzīvotāju iesaistīšanos saimnieciskajā darbībā visā Latvijas teritorijā, izņemot valstspilsētās, un palielināt finanšu resursu pieejamību saimnieciskās darbības veicējiem lauksaimniecības, lauku attīstības un zivsaimniecības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24-TA-417</w:t>
    </w:r>
    <w:r>
      <w:br/>
    </w:r>
    <w:r w:rsidR="00000000" w:rsidRPr="00000000" w:rsidDel="00000000">
      <w:rPr>
        <w:rtl w:val="0"/>
      </w:rPr>
      <w:t xml:space="preserve">Izdrukāts 29.07.2026. 22.02 - 4.0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24-TA-417</w:t>
    </w:r>
    <w:r>
      <w:br/>
    </w:r>
    <w:r w:rsidR="00000000" w:rsidRPr="00000000" w:rsidDel="00000000">
      <w:rPr>
        <w:rtl w:val="0"/>
      </w:rPr>
      <w:t xml:space="preserve">Izdrukāts 29.07.2026. 22.02 - 4.0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anotācija_(ex_ante)_24-TA-417.docx</dc:title>
</cp:coreProperties>
</file>

<file path=docProps/custom.xml><?xml version="1.0" encoding="utf-8"?>
<Properties xmlns="http://schemas.openxmlformats.org/officeDocument/2006/custom-properties" xmlns:vt="http://schemas.openxmlformats.org/officeDocument/2006/docPropsVTypes"/>
</file>