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834 "Prasības ūdens, augsnes un gaisa aizsardzībai no lauksaimnieciskās darbības izraisīta piesārņojuma""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2014. gada 23. decembra noteikumi Nr. 834 "Prasības ūdens, augsnes un gaisa aizsardzībai no lauksaimnieciskās darbības izraisīta piesārņojuma" (turpmāk - noteikumi Nr. 834), kuros ir noteiktas prasības ūdens un augsnes aizsardzībai no lauksaimnieciskās darbības izraisīta piesārņojuma ar nitrātiem, kā arī amonjaka emisiju ierobežošanai; definētas īpaši jutīgās teritorijas, uz kurām attiecas paaugstinātas prasības ūdens un augsnes aizsardzībai no lauksaimnieciskās darbības izraisīta piesārņojuma ar nitrātiem, to robežas un noteikšanas kritēriji; noteikta īpaši jutīgo teritoriju apsaimniekošanas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Ministru kabineta noteikumu projektu "Grozījumi Ministru kabineta 2014. gada 23. decembra noteikumos Nr. 834 "Prasības ūdens, augsnes un gaisa aizsardzībai no lauksaimnieciskās darbības izraisīta piesārņojuma"" (turpmāk – noteikumu projekts), lai precizētu normatīvo regulējumu, iekļaujot noteikumos Nr. 834 lauksaimniecības dzīvnieku grupu “jaunputni”.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nepārsniegtu noteikumu Nr. 834 3.3.2. apakšpunktā noteikto prasību par slāpekļa daudzumu vienā lauksaimniecības zemes hektārā, iestrādei pieļaujamo kūtsmēslu un fermentācijas atlieku apjomu aprēķina, pamatojoties uz slāpekļa daudzumu kūtsmēslos un fermentācijas atliekās. Kūtsmēslu iestrādei nepieciešamo lauksaimniecībā izmantojamās zemes platību aprēķina atbilstoši šo noteikumu 1. pielikumam. Iestrādāto slāpekļa daudzumu aprēķina atbilstoši šo noteikumu 2. pielikumā norādītajam slāpekļa saturam kūtsmēslos vai saskaņā ar kūtsmēslu vai fermentācijas atlieku analīžu rezultātiem, kurus izsniegusi mēslošanas līdzekļu jomā akreditēta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tabulā “Kūtsmēslu apjoms un sastāvs” iekļauti pamatdati par slāpekļa daudzumu dažādu lauksaimniecības dzīvnieku sugu kūtsmēslos, kas nepieciešami aprēķiniem, lai nepārsniegtu noteikumu Nr. 834 3.3.2. apakšpunktā noteikto slāpekļa daudzumu vienā lauksaimniecībā izmantojamās zemes hektārā gadā (170kg/N/ha/gadā). Šajā tabulā nav iekļauta tāda lauksaimniecības dzīvnieku grupa, kā jaunputni. Jaunputni nav iekļauti arī 1. pielikuma tabulā “Kūtsmēslu iestrādei nepieciešamās lauksaimniecībā izmantojamās zemes platības aprēķināšana”, kurā norādītas lauksaimniecības dzīvnieku vienības (turpmāk – DV).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Koeficients DV tiek pielietots ne tikai kūtsmēslu iestrādei nepieciešamās lauksaimniecībā izmantojamās zemes platības aprēķināšanai, tas tiek izmantots arī minimālo attālumu noteikšanai, plānojot jaunas lauksaimniecības būves dzīvnieku turēšanai atbilstoši Ministru kabineta 2013. gada 30. aprīļa noteikumu Nr.240 “Vispārīgie teritorijas plānošanas, izmantošanas un apbūves noteikumi” 140.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Putnkopības nozarē esošiem uzņēmumiem pieaugošās konkurences apstākļos arvien vairāk ir jānodrošina ražošanas ekonomiskā dzīvotspēja un ir jāspēj konkurēt Eiropas Savienības un pasaules tirgos. Ražošanas iekārtas ir jāpielāgo arī “Zaļā kursa” mērķu sasniegšanai un ražošanas procesos radīto emisiju mazināšanai. Tagad putnu fermās arvien vairāk tiek ieviesti pilna vai daļēji pilna ražošanas cikla pamatprincipi, izaudzējot un realizējot putnus uz vietas, tādā veidā samazinot gan ražošanas izmaksas uz vaislas materiāla iegādes rēķina, gan arī mājputnu saslimšanas risku, kas saistīts ar to ievešanu no citām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834 tika pieņemti 2014. gadā, kad Latvijā putnkopības uzņēmumi meklēja iespēju iepirkt vaislas materiālu, kas neprasīja lielus finanšu līdzekļus. Līdz ar to šo noteikumu 1. un 2. pielikuma tabulās ir iekļautas tikai dējējvistas un broileri, bet nav iekļauti jaunputni, kas ir produktīvo vecumu vēl nesasnieguši putni. Līdz ar to rodas grūtības izvēloties attiecīgo koeficientu formulā gadījumos, kad jāveic jaunputnu saražoto kūtsmēslu iestrādei nepieciešamās lauksaimniecībā izmantojamās zemes platības aprēķini, vai jānosaka minimālais attālums no tuvākās esošās dzīvojamās ēkas vai publiskās būves plānojot jaunu lauksaimniecības dzīvnieku turēšanai paredzētu būvi, kurā tiek plānots audzēt jaunputnus.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vispārpieņemto praksi  un zinātnisko  literatūru, par jaunputniem tiek uzskatīti putni līdz dēšanas perioda sākumam. Šajā laikā jaunputns izaug par dējējputnu, sasniedzot dēšanai paredzētu vecumu un atbilstošu svaru  aptuveni 2 kg. Ņemot vērā to, ka gan jaunputni, gan broileri viena cikla laikā sasniedz līdzvērtīgu  produktīvo vecumu un svaru, tad  arī abām šīm putnu grupām ir līdzīgs gan to aprites cikls, gan barības devas. Tā kā abām šīm putnu grupām to audzēšanas periodos tiek nodrošināta līdzvērtīga ēdināšana, tad arī to saražoto kūtsmēslu apjoms un ķīmiskais sastāvs attiecīgajā periodā ir līdzīgs. To apliecina arī vairākās citās Eiropas Savienības dalībvalstīs pielietotā prakse, piemēram, Igaunijā, Lietuvā, Zviedrijā broileru un jaunputnu DV koeficienti ir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noteikumu Nr. 834 1. pielikuma tabulas 19. punktā un 2. pielikuma tabulas 17. punktā iekļaut arī jaunputnus, pielīdzinot gan to saražoto kūtsmēslu apjomu, ķīmisko sastāvu, gan DV koeficientu broileru attiecīgajiem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alternatīvs risinājums - zinātnisks pētījums par jaunputnu saražoto kūtsmēslu apjoma un to ķīmiskā sastāva noteikšanu. Lai veiktu šādu pētījumu, ir nepieciešams papildus finansējums, darbaspēka un laika resursi,  līdz ar to tika pieņemts lēmums, izmantojot citu Eiropas Savienības dalībvalstu pieredzi un praksi, kā arī zinātnisko literatūru, pielīdzināt jaunputnu saražoto kūtsmēslu apjomu, ķīmisko sastāvu un arī DV koeficientu broileru attiecīgajiem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nodarbojas ar dējējvistu un broileru audzēšanu. Saskaņā ar PVD datubāzē pieejamo informāciju, 2022. gada beigās Latvijā kopumā bija 37 uzņēmumi, kas nodarbojas ar putnu audzēšanu un kuriem PVD ir reģistrētas dējējvistu un mājputnu novietnes.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Projekts paredz iekļaut noteikumos Nr.  834 lauksaimniecības dzīvnieku grupu “jaunputni”.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pakalpojumu sniegšanu esošajā apjomā un kvalitātē, varētu tikt veicināta valsts tiekšanās pēc vairākām Nacionālajā attīstības plānā izvirzītajām prioritātēm – produktivitātes palielināšanas, eksporta un inovāciju veicināšanas, kā arī investīciju piesaistes.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Apvientā putnkopības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sekmēs  ūdeņu piesārņojuma, ko rada vai izraisa lauksaimnieciskas izcelsmes nitrāti, samazināšanu un novēršanu.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sekmēs klimatneitralitātes politikas īstenošanu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23-TA-269</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23-TA-269</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anotācija_(ex_ante)_23-TA-269.docx</dc:title>
</cp:coreProperties>
</file>

<file path=docProps/custom.xml><?xml version="1.0" encoding="utf-8"?>
<Properties xmlns="http://schemas.openxmlformats.org/officeDocument/2006/custom-properties" xmlns:vt="http://schemas.openxmlformats.org/officeDocument/2006/docPropsVTypes"/>
</file>