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Imigrācijas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11. jūnija sēdē tika atbalstīta likumprojektu pakete (</w:t>
      </w:r>
      <w:r w:rsidR="00000000" w:rsidRPr="00000000" w:rsidDel="00000000">
        <w:rPr>
          <w:i w:val="1"/>
          <w:rtl w:val="0"/>
        </w:rPr>
        <w:t xml:space="preserve">likumprojekts "Valsts ieņēmumu dienesta likums" (24-TA-752, likumprojekts "Nodokļu un muitas policijas likums" (24-TA-727), likumprojekts "Grozījumi likumā "Par nodokļiem un nodevām""(24-TA-761), likumprojekts "Grozījumi Muitas likumā" (24-TA-737), likumprojekts "Grozījumi likumā "Par skaidras naudas deklarēšanu uz valsts robežas"" (24-TA-738) un likumprojekts "Grozījumi Kriminālprocesa likumā" (24-TA-793</w:t>
      </w:r>
      <w:r w:rsidR="00000000" w:rsidRPr="00000000" w:rsidDel="00000000">
        <w:rPr>
          <w:rtl w:val="0"/>
        </w:rPr>
        <w:t xml:space="preserve">) (</w:t>
      </w:r>
      <w:r w:rsidR="00000000" w:rsidRPr="00000000" w:rsidDel="00000000">
        <w:rPr>
          <w:i w:val="1"/>
          <w:rtl w:val="0"/>
        </w:rPr>
        <w:t xml:space="preserve">skatīt prot. Nr.24, 42.-47.§</w:t>
      </w:r>
      <w:r w:rsidR="00000000" w:rsidRPr="00000000" w:rsidDel="00000000">
        <w:rPr>
          <w:rtl w:val="0"/>
        </w:rPr>
        <w:t xml:space="preserve">), kura tika izstrādāta, izpildot Ministru kabineta 2024. gada 6. februāra sēdē atbalstītajā informatīvajā ziņojumā "Par Valsts ieņēmumu dienesta darbības pilnveides pasākumiem" ietvertos priekšlikumus Valsts ieņēmumu dienesta reorganizācijai, kas paredz Valsts ieņēmumu dienesta Nodokļu un muitas policijas pārvaldes funkciju un uzdevumu nodošanu finanšu ministra pārraudzībā izveidotajai tiešās pārvaldes iestādei Nodokļu un muitas policijai (skatīt prot. 6, Nr. 33. §). Minētie likumprojekti 2024.gada 12.septembrī ir pieņemti Saeimā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Imigrācijas likumā" (turpmāk – likumprojekts) ir viens no tiesību aktu projektiem, kas izstrādāts, lai īstenotu Ministru kabineta atbalstīto Valsts ieņēmumu dienesta reorganizāciju.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Nodokļu un muitas policijai ar 2026. gada 1. janvāri būtu tiesības veikt datu ievadi, pārbaudi, atjaunināšanu, pārskatīšanu un izņemšanu no Eiropas ceļošanas informācijas un atļauju sistēmas kontrolsaraksta, kā arī tiesības saņemt Eiropas ceļošanas informācijas un atļauju sistēmas centrālajā sistēmā glabātos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Nodokļu un muitas policijas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Imigrācijas likuma 17.</w:t>
      </w:r>
      <w:r w:rsidR="00000000" w:rsidRPr="00000000" w:rsidDel="00000000">
        <w:rPr>
          <w:vertAlign w:val="superscript"/>
          <w:rtl w:val="0"/>
        </w:rPr>
        <w:t xml:space="preserve">1</w:t>
      </w:r>
      <w:r w:rsidR="00000000" w:rsidRPr="00000000" w:rsidDel="00000000">
        <w:rPr>
          <w:rtl w:val="0"/>
        </w:rPr>
        <w:t xml:space="preserve"> panta otrajā daļā noteikts, ka Valsts ieņēmumu dienesta pilnvarotas amatpersonas atbilstoši kompetencei datus ievada, pārbauda, atjaunina, pārskata un izņem no Eiropas ceļošanas informācijas un atļauju sistēmas kontrolsaraksta saskaņā ar Eiropas Parlamenta un Padomes 2018. gada 12. septembra regulas (ES) 2018/1240, ar ko izveido Eiropas ceļošanas informācijas un atļauju sistēmu (ETIAS) un groza regulas (ES) Nr. 1077/2011, (ES) Nr. 515/2014, (ES) 2016/399, (ES) 2016/1624 un (ES) 2017/2226 (turpmāk — regula Nr. 2018/1240) 34. un 35.pantu.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minētā likuma 17.</w:t>
      </w:r>
      <w:r w:rsidR="00000000" w:rsidRPr="00000000" w:rsidDel="00000000">
        <w:rPr>
          <w:vertAlign w:val="superscript"/>
          <w:rtl w:val="0"/>
        </w:rPr>
        <w:t xml:space="preserve">2</w:t>
      </w:r>
      <w:r w:rsidR="00000000" w:rsidRPr="00000000" w:rsidDel="00000000">
        <w:rPr>
          <w:rtl w:val="0"/>
        </w:rPr>
        <w:t xml:space="preserve"> panta otrajā daļā ir noteikts, ka Valsts ieņēmumu dienesta izraudzītajām struktūrvienībām ir tiesības saņemt Eiropas ceļošanas informācijas un atļauju sistēmas centrālajā sistēmā glabātos datus, ievērojot šā panta trešo daļu un regulas Nr. 2018/1240 51. un 52.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panta trešās daļas 3. punktam Valsts ieņēmumu dienesta izraudzītās struktūrvienības Eiropas ceļošanas informācijas un atļauju sistēmas centrālajā sistēmā glabātos datus, ievērojot regulas Nr. 2018/1240 51. un 52. pantu, saņem ar tās Valsts robežsardzes pilnvarotās amatpersonas starpniecību, kurai piešķirtas piekļuves tiesības Eiropas ceļošanas informācijas un atļauju sistēmas centrālajā sistēmā glabātajiem datiem.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struktūrvienība, kura saskaņā ar Imigrācijas likumu šobrīd saņem Eiropas ceļošanas informācijas un atļauju sistēmas centrālajā sistēmā glabātos datus, kā arī atbilstoši kompetencei datus ievada, pārbauda, atjaunina, pārskata un izņem no Eiropas ceļošanas informācijas un atļauju sistēmas kontrolsaraksta, ir Nodokļu un muitas policijas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īstenotā Valsts ieņēmumu dienesta reorganizācija paredz, ka minētās pārvaldes funkcijas un uzdevumi ar 2026. gada 1. janvāri tiek nodoti Nodokļu un muitas policijai, kā arī ievērojot to, ka citām Valsts ieņēmumu dienesta struktūrvienībām nav nepieciešama pieeja Eiropas ceļošanas informācijas un atļauju sistēmas centrālajā sistēmā glabātajiem datiem, ir nepieciešams veikt atbilstošus grozījumus Imigrācijas likuma 17.</w:t>
      </w:r>
      <w:r w:rsidR="00000000" w:rsidRPr="00000000" w:rsidDel="00000000">
        <w:rPr>
          <w:vertAlign w:val="superscript"/>
          <w:rtl w:val="0"/>
        </w:rPr>
        <w:t xml:space="preserve">1</w:t>
      </w:r>
      <w:r w:rsidR="00000000" w:rsidRPr="00000000" w:rsidDel="00000000">
        <w:rPr>
          <w:rtl w:val="0"/>
        </w:rPr>
        <w:t xml:space="preserve"> panta otrajā daļā un 17.</w:t>
      </w:r>
      <w:r w:rsidR="00000000" w:rsidRPr="00000000" w:rsidDel="00000000">
        <w:rPr>
          <w:vertAlign w:val="superscript"/>
          <w:rtl w:val="0"/>
        </w:rPr>
        <w:t xml:space="preserve">2</w:t>
      </w:r>
      <w:r w:rsidR="00000000" w:rsidRPr="00000000" w:rsidDel="00000000">
        <w:rPr>
          <w:rtl w:val="0"/>
        </w:rPr>
        <w:t xml:space="preserve"> panta otrajā daļā un trešās daļas 3.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ietvertie grozījumi paredz aizstāt Imigrācijas likuma 17.</w:t>
      </w:r>
      <w:r w:rsidR="00000000" w:rsidRPr="00000000" w:rsidDel="00000000">
        <w:rPr>
          <w:vertAlign w:val="superscript"/>
          <w:rtl w:val="0"/>
        </w:rPr>
        <w:t xml:space="preserve">1 </w:t>
      </w:r>
      <w:r w:rsidR="00000000" w:rsidRPr="00000000" w:rsidDel="00000000">
        <w:rPr>
          <w:rtl w:val="0"/>
        </w:rPr>
        <w:t xml:space="preserve">panta otrajā daļā un 17.</w:t>
      </w:r>
      <w:r w:rsidR="00000000" w:rsidRPr="00000000" w:rsidDel="00000000">
        <w:rPr>
          <w:vertAlign w:val="superscript"/>
          <w:rtl w:val="0"/>
        </w:rPr>
        <w:t xml:space="preserve">2</w:t>
      </w:r>
      <w:r w:rsidR="00000000" w:rsidRPr="00000000" w:rsidDel="00000000">
        <w:rPr>
          <w:rtl w:val="0"/>
        </w:rPr>
        <w:t xml:space="preserve"> panta otrajā un trešās daļas 3. punktā Valsts ieņēmumu dienestu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grozījumi ir uzskatāmi par tehniska rakstura grozījumiem, ņemot vērā, ka tie izstrādāti, lai īstenotu tikai un vienīgi Ministru kabinetā atbalstīto Valsts ieņēmumu dienesta reorganizāciju, un neparedz grozījumus, kas ir ārpus īstenojamās reorganizācijas.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izstrādāts, lai nodrošinātu Valsts ieņēmumu dienesta reorganizāciju, nododot Valsts ieņēmumu dienesta Nodokļu un muitas policijas pārvaldes funkcijas un uzdevumus Nodokļu un muitas policijai, likumprojekta tiesiskais regulējums nemaina ierēdņu tiesības un pienākumu, kā arī veicamo darbību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32018R1240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12.septembra regula (ES) 2018/1240, ar ko izveido Eiropas ceļošanas informācijas un atļauju sistēmu (ETIAS) un groza regulas (ES) Nr.1077/2011, (ES) Nr. 515/2014, (ES) 2016/399, (ES) 2016/1624 un (ES) 2017/2226 (turpmāk — regula Nr.2018/1240)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Nr.2018/1240 prasības ir ieviestas ar Imigrācijas likuma 17.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2</w:t>
      </w:r>
      <w:r w:rsidR="00000000" w:rsidRPr="00000000" w:rsidDel="00000000">
        <w:rPr>
          <w:rtl w:val="0"/>
        </w:rPr>
        <w:t xml:space="preserve"> pantu, kas spēkā stājās 2022.gada 24.martā.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Nr.2018/1240 prasības ir ieviestas ar Imigrācijas likuma 17.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2</w:t>
      </w:r>
      <w:r w:rsidR="00000000" w:rsidRPr="00000000" w:rsidDel="00000000">
        <w:rPr>
          <w:rtl w:val="0"/>
        </w:rPr>
        <w:t xml:space="preserve"> pantu, kas spēkā stājās 2022.gada 24.martā. Līdz ar to likumprojektā iekļautie grozījumi ir uzskatāmi par tehniska rakstura grozījumiem, jo tie paredz mainīt tikai iestādes nosaukumu nevis mainīt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skaidrības nolūkos tiek aizpildīta arī šī anotācijas sadaļa.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12.septembra regula (ES) 2018/1240, ar ko izveido Eiropas ceļošanas informācijas un atļauju sistēmu (ETIAS) un groza regulas (ES) Nr.1077/2011, (ES) Nr. 515/2014, (ES) 2016/399, (ES) 2016/1624 un (ES) 2017/2226 (turpmāk — regula Nr.2018/1240)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Nr.2018/1240 34. un 35.pants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grozījums Imigrācijas likuma 17.</w:t>
            </w:r>
            <w:r w:rsidR="00000000" w:rsidRPr="00000000" w:rsidDel="00000000">
              <w:rPr>
                <w:sz w:val="24"/>
                <w:vertAlign w:val="superscript"/>
                <w:rtl w:val="0"/>
              </w:rPr>
              <w:t xml:space="preserve">1</w:t>
            </w:r>
            <w:r w:rsidR="00000000" w:rsidRPr="00000000" w:rsidDel="00000000">
              <w:rPr>
                <w:sz w:val="24"/>
                <w:rtl w:val="0"/>
              </w:rPr>
              <w:t xml:space="preserve"> panta otrajā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Nr.2018/1240 50.panta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grozījums Imigrācijas likuma 17.</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Nr.2018/1240 51. un 52.pants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iekļautais grozījums Imigrācijas likuma 17.</w:t>
            </w:r>
            <w:r w:rsidR="00000000" w:rsidRPr="00000000" w:rsidDel="00000000">
              <w:rPr>
                <w:sz w:val="24"/>
                <w:vertAlign w:val="superscript"/>
                <w:rtl w:val="0"/>
              </w:rPr>
              <w:t xml:space="preserve">2</w:t>
            </w:r>
            <w:r w:rsidR="00000000" w:rsidRPr="00000000" w:rsidDel="00000000">
              <w:rPr>
                <w:sz w:val="24"/>
                <w:rtl w:val="0"/>
              </w:rPr>
              <w:t xml:space="preserve"> panta trešās daļas 3.punktā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Nr.2018/1240 50.panta 2.punkta otrā un trešā daļa paredz rīcības brīvību dalībvalstīm izraudzīties vairāk nekā vienu centrālo piekļuves punktu. Minētā rīcības brīvība ir īstenota ar Imigrācijas likuma 17.</w:t>
            </w:r>
            <w:r w:rsidR="00000000" w:rsidRPr="00000000" w:rsidDel="00000000">
              <w:rPr>
                <w:sz w:val="24"/>
                <w:vertAlign w:val="superscript"/>
                <w:rtl w:val="0"/>
              </w:rPr>
              <w:t xml:space="preserve">2</w:t>
            </w:r>
            <w:r w:rsidR="00000000" w:rsidRPr="00000000" w:rsidDel="00000000">
              <w:rPr>
                <w:sz w:val="24"/>
                <w:rtl w:val="0"/>
              </w:rPr>
              <w:t xml:space="preserve">panta otro daļu, kas stājās spēkā 2022.gada 24.martā.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likumprojektā iekļautie grozījumi ir tehniska rakstura, jo tie nav tieši attiecināmi uz šo rīcības brīvību, ņemot vērā, ka Nodokļu un muitas policija nav uzskatāma par centrālo piekļuves punktu Regulas Nr.2018/1240 50.panta 2.punkta izpratnē.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Imigrācijas likuma Imigrācijas likuma 17.</w:t>
            </w:r>
            <w:r w:rsidR="00000000" w:rsidRPr="00000000" w:rsidDel="00000000">
              <w:rPr>
                <w:sz w:val="24"/>
                <w:vertAlign w:val="superscript"/>
                <w:rtl w:val="0"/>
              </w:rPr>
              <w:t xml:space="preserve">1</w:t>
            </w:r>
            <w:r w:rsidR="00000000" w:rsidRPr="00000000" w:rsidDel="00000000">
              <w:rPr>
                <w:sz w:val="24"/>
                <w:rtl w:val="0"/>
              </w:rPr>
              <w:t xml:space="preserve"> un 17.</w:t>
            </w:r>
            <w:r w:rsidR="00000000" w:rsidRPr="00000000" w:rsidDel="00000000">
              <w:rPr>
                <w:sz w:val="24"/>
                <w:vertAlign w:val="superscript"/>
                <w:rtl w:val="0"/>
              </w:rPr>
              <w:t xml:space="preserve">2</w:t>
            </w:r>
            <w:r w:rsidR="00000000" w:rsidRPr="00000000" w:rsidDel="00000000">
              <w:rPr>
                <w:sz w:val="24"/>
                <w:rtl w:val="0"/>
              </w:rPr>
              <w:t xml:space="preserve"> panta atbilstību Latvijas Republikas starptautiskajām saistībām ir ietverta likumprojekta "Grozījumi Imigrācijas likumā" sākotnējās ietekmes nocvērtējuma ziņojumā (anotācijā), kas pieejama https://titania.saeima.lv/LIVS13/SaeimaLIVS13.nsf/0/47EC9A7ACF530020C22586FC001EF82F?OpenDocument.</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institūcija piemēro sabiedrības līdzdalības kārtību to tiesību aktu projektu izstrādē, kas būtiski maina esošo regulējumu vai paredz ieviest jaunas politiskās iniciatīvas. Ņemot vērā, ka likumprojekts ir izstrādāts ar mērķi precizēt iestādes nosaukumu atbilstoši īstenotajai Valsts ieņēmumu dienesta reorganizācijai, un tas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izstrādātu priekšlikumus Valsts ieņēmumu dienesta reformas tiesiskajam regulējumam un reformas īstenošanas risinājumiem, Finanšu ministrija ir izveidojusi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darba grupas 2024. gada 1. augusta sēdē tika skatīts jautājums par nepieciešamību veikt grozījumus citos ar Valsts ieņēmumu dienesta reformu saistītajos likumos (papildus Ministru kabineta 2024. gada 11. jūnija sēdē apstiprinātajiem likumprojektiem) un to steidzamību.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likumprojekta "Nodokļu un policijas likums" (Nr. 645/Lp14) anotācijas (</w:t>
      </w:r>
      <w:r w:rsidR="00000000" w:rsidRPr="00000000" w:rsidDel="00000000">
        <w:rPr>
          <w:i w:val="1"/>
          <w:rtl w:val="0"/>
        </w:rPr>
        <w:t xml:space="preserve">ex-ante</w:t>
      </w:r>
      <w:r w:rsidR="00000000" w:rsidRPr="00000000" w:rsidDel="00000000">
        <w:rPr>
          <w:rtl w:val="0"/>
        </w:rPr>
        <w:t xml:space="preserve">) 4. sadaļu "Tiesību akta projekta ietekme uz spēkā esošo tiesību normu sistēmu" saistībā ar izstrādāto likumprojektu ir nepieciešami grozījumi 15 likumos, no tiem trīs grozījumu likumprojekti – likumprojekts "Grozījumi Muitas likumā" (24-TA-737), likumprojekts "Grozījumi likumā "Par skaidras naudas deklarēšanu uz valsts robežas"" (24-TA-738) un likumprojekts "Grozījumi Kriminālprocesa likumā" (24-TA-793) – ir virzīti vienlaikus ar  likumprojektu "Nodokļu un policijas likums" (</w:t>
      </w:r>
      <w:r w:rsidR="00000000" w:rsidRPr="00000000" w:rsidDel="00000000">
        <w:rPr>
          <w:i w:val="1"/>
          <w:rtl w:val="0"/>
        </w:rPr>
        <w:t xml:space="preserve">skatīt Ministru kabineta 2024.</w:t>
      </w:r>
      <w:r w:rsidR="00000000" w:rsidRPr="00000000" w:rsidDel="00000000">
        <w:rPr>
          <w:rtl w:val="0"/>
        </w:rPr>
        <w:t xml:space="preserve"> </w:t>
      </w:r>
      <w:r w:rsidR="00000000" w:rsidRPr="00000000" w:rsidDel="00000000">
        <w:rPr>
          <w:i w:val="1"/>
          <w:rtl w:val="0"/>
        </w:rPr>
        <w:t xml:space="preserve">gada 11.</w:t>
      </w:r>
      <w:r w:rsidR="00000000" w:rsidRPr="00000000" w:rsidDel="00000000">
        <w:rPr>
          <w:rtl w:val="0"/>
        </w:rPr>
        <w:t xml:space="preserve"> </w:t>
      </w:r>
      <w:r w:rsidR="00000000" w:rsidRPr="00000000" w:rsidDel="00000000">
        <w:rPr>
          <w:i w:val="1"/>
          <w:rtl w:val="0"/>
        </w:rPr>
        <w:t xml:space="preserve">jūnija sēdes prot. Nr.</w:t>
      </w:r>
      <w:r w:rsidR="00000000" w:rsidRPr="00000000" w:rsidDel="00000000">
        <w:rPr>
          <w:rtl w:val="0"/>
        </w:rPr>
        <w:t xml:space="preserve"> </w:t>
      </w:r>
      <w:r w:rsidR="00000000" w:rsidRPr="00000000" w:rsidDel="00000000">
        <w:rPr>
          <w:i w:val="1"/>
          <w:rtl w:val="0"/>
        </w:rPr>
        <w:t xml:space="preserve">6, 44., 46. un 47.</w:t>
      </w:r>
      <w:r w:rsidR="00000000" w:rsidRPr="00000000" w:rsidDel="00000000">
        <w:rPr>
          <w:rtl w:val="0"/>
        </w:rPr>
        <w:t xml:space="preserve"> </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Diskutējot par pārējiem 12 likumiem, kuros veicami grozījumi, Valsts ieņēmumu dienesta reformas darba grupa secināja,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tuvākajā laikā nepieciešams grozījumus veikt četros likumos</w:t>
      </w:r>
      <w:r w:rsidR="00000000" w:rsidRPr="00000000" w:rsidDel="00000000">
        <w:rPr>
          <w:rtl w:val="0"/>
        </w:rPr>
        <w:t xml:space="preserve">: Valsts un pašvaldību institūciju amatpersonu un darbinieku atlīdzības likumā (</w:t>
      </w:r>
      <w:r w:rsidR="00000000" w:rsidRPr="00000000" w:rsidDel="00000000">
        <w:rPr>
          <w:i w:val="1"/>
          <w:rtl w:val="0"/>
        </w:rPr>
        <w:t xml:space="preserve">4.</w:t>
      </w:r>
      <w:r w:rsidR="00000000" w:rsidRPr="00000000" w:rsidDel="00000000">
        <w:rPr>
          <w:rtl w:val="0"/>
        </w:rPr>
        <w:t xml:space="preserve"> </w:t>
      </w:r>
      <w:r w:rsidR="00000000" w:rsidRPr="00000000" w:rsidDel="00000000">
        <w:rPr>
          <w:i w:val="1"/>
          <w:rtl w:val="0"/>
        </w:rPr>
        <w:t xml:space="preserve">panta divpadsmitā daļa, 14.</w:t>
      </w:r>
      <w:r w:rsidR="00000000" w:rsidRPr="00000000" w:rsidDel="00000000">
        <w:rPr>
          <w:rtl w:val="0"/>
        </w:rPr>
        <w:t xml:space="preserve"> </w:t>
      </w:r>
      <w:r w:rsidR="00000000" w:rsidRPr="00000000" w:rsidDel="00000000">
        <w:rPr>
          <w:i w:val="1"/>
          <w:rtl w:val="0"/>
        </w:rPr>
        <w:t xml:space="preserve">panta 12.</w:t>
      </w:r>
      <w:r w:rsidR="00000000" w:rsidRPr="00000000" w:rsidDel="00000000">
        <w:rPr>
          <w:i w:val="1"/>
          <w:vertAlign w:val="superscript"/>
          <w:rtl w:val="0"/>
        </w:rPr>
        <w:t xml:space="preserve">1</w:t>
      </w:r>
      <w:r w:rsidR="00000000" w:rsidRPr="00000000" w:rsidDel="00000000">
        <w:rPr>
          <w:i w:val="1"/>
          <w:rtl w:val="0"/>
        </w:rPr>
        <w:t xml:space="preserve"> daļa, 28.</w:t>
      </w:r>
      <w:r w:rsidR="00000000" w:rsidRPr="00000000" w:rsidDel="00000000">
        <w:rPr>
          <w:rtl w:val="0"/>
        </w:rPr>
        <w:t xml:space="preserve"> </w:t>
      </w:r>
      <w:r w:rsidR="00000000" w:rsidRPr="00000000" w:rsidDel="00000000">
        <w:rPr>
          <w:i w:val="1"/>
          <w:rtl w:val="0"/>
        </w:rPr>
        <w:t xml:space="preserve">panta pirmā daļa, 29.</w:t>
      </w:r>
      <w:r w:rsidR="00000000" w:rsidRPr="00000000" w:rsidDel="00000000">
        <w:rPr>
          <w:rtl w:val="0"/>
        </w:rPr>
        <w:t xml:space="preserve"> </w:t>
      </w:r>
      <w:r w:rsidR="00000000" w:rsidRPr="00000000" w:rsidDel="00000000">
        <w:rPr>
          <w:i w:val="1"/>
          <w:rtl w:val="0"/>
        </w:rPr>
        <w:t xml:space="preserve">panta trešā daļa un 37.panta 3.</w:t>
      </w:r>
      <w:r w:rsidR="00000000" w:rsidRPr="00000000" w:rsidDel="00000000">
        <w:rPr>
          <w:i w:val="1"/>
          <w:vertAlign w:val="superscript"/>
          <w:rtl w:val="0"/>
        </w:rPr>
        <w:t xml:space="preserve">3</w:t>
      </w:r>
      <w:r w:rsidR="00000000" w:rsidRPr="00000000" w:rsidDel="00000000">
        <w:rPr>
          <w:i w:val="1"/>
          <w:rtl w:val="0"/>
        </w:rPr>
        <w:t xml:space="preserve"> daļa</w:t>
      </w:r>
      <w:r w:rsidR="00000000" w:rsidRPr="00000000" w:rsidDel="00000000">
        <w:rPr>
          <w:rtl w:val="0"/>
        </w:rPr>
        <w:t xml:space="preserve">), likumā "Par interešu konflikta novēršanu valsts amatpersonu darbībā" (</w:t>
      </w:r>
      <w:r w:rsidR="00000000" w:rsidRPr="00000000" w:rsidDel="00000000">
        <w:rPr>
          <w:i w:val="1"/>
          <w:rtl w:val="0"/>
        </w:rPr>
        <w:t xml:space="preserve">7.</w:t>
      </w:r>
      <w:r w:rsidR="00000000" w:rsidRPr="00000000" w:rsidDel="00000000">
        <w:rPr>
          <w:rtl w:val="0"/>
        </w:rPr>
        <w:t xml:space="preserve"> </w:t>
      </w:r>
      <w:r w:rsidR="00000000" w:rsidRPr="00000000" w:rsidDel="00000000">
        <w:rPr>
          <w:i w:val="1"/>
          <w:rtl w:val="0"/>
        </w:rPr>
        <w:t xml:space="preserve">panta trešā daļa, tostarp papildus nosakot amata savienošanas ierobežojumu Valsts ieņēmumu dienesta ģenerāldirektora vietniekiem</w:t>
      </w:r>
      <w:r w:rsidR="00000000" w:rsidRPr="00000000" w:rsidDel="00000000">
        <w:rPr>
          <w:rtl w:val="0"/>
        </w:rPr>
        <w:t xml:space="preserve">), Imigrācijas likumā (</w:t>
      </w:r>
      <w:r w:rsidR="00000000" w:rsidRPr="00000000" w:rsidDel="00000000">
        <w:rPr>
          <w:i w:val="1"/>
          <w:rtl w:val="0"/>
        </w:rPr>
        <w:t xml:space="preserve">7.</w:t>
      </w:r>
      <w:r w:rsidR="00000000" w:rsidRPr="00000000" w:rsidDel="00000000">
        <w:rPr>
          <w:i w:val="1"/>
          <w:vertAlign w:val="superscript"/>
          <w:rtl w:val="0"/>
        </w:rPr>
        <w:t xml:space="preserve">1</w:t>
      </w:r>
      <w:r w:rsidR="00000000" w:rsidRPr="00000000" w:rsidDel="00000000">
        <w:rPr>
          <w:i w:val="1"/>
          <w:rtl w:val="0"/>
        </w:rPr>
        <w:t xml:space="preserve"> panta otrā daļa, 17.</w:t>
      </w:r>
      <w:r w:rsidR="00000000" w:rsidRPr="00000000" w:rsidDel="00000000">
        <w:rPr>
          <w:i w:val="1"/>
          <w:vertAlign w:val="superscript"/>
          <w:rtl w:val="0"/>
        </w:rPr>
        <w:t xml:space="preserve">2</w:t>
      </w:r>
      <w:r w:rsidR="00000000" w:rsidRPr="00000000" w:rsidDel="00000000">
        <w:rPr>
          <w:i w:val="1"/>
          <w:rtl w:val="0"/>
        </w:rPr>
        <w:t xml:space="preserve"> panta otrā daļa un trešās daļas 3.</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 un Administratīvās atbildības likumā (</w:t>
      </w:r>
      <w:r w:rsidR="00000000" w:rsidRPr="00000000" w:rsidDel="00000000">
        <w:rPr>
          <w:i w:val="1"/>
          <w:rtl w:val="0"/>
        </w:rPr>
        <w:t xml:space="preserve">71.</w:t>
      </w:r>
      <w:r w:rsidR="00000000" w:rsidRPr="00000000" w:rsidDel="00000000">
        <w:rPr>
          <w:rtl w:val="0"/>
        </w:rPr>
        <w:t xml:space="preserve"> </w:t>
      </w:r>
      <w:r w:rsidR="00000000" w:rsidRPr="00000000" w:rsidDel="00000000">
        <w:rPr>
          <w:i w:val="1"/>
          <w:rtl w:val="0"/>
        </w:rPr>
        <w:t xml:space="preserve">panta otrā daļa un 115.</w:t>
      </w:r>
      <w:r w:rsidR="00000000" w:rsidRPr="00000000" w:rsidDel="00000000">
        <w:rPr>
          <w:rtl w:val="0"/>
        </w:rPr>
        <w:t xml:space="preserve"> </w:t>
      </w:r>
      <w:r w:rsidR="00000000" w:rsidRPr="00000000" w:rsidDel="00000000">
        <w:rPr>
          <w:i w:val="1"/>
          <w:rtl w:val="0"/>
        </w:rPr>
        <w:t xml:space="preserve">panta pirmā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Saeimā ir iesniegts izskatīšanai likumprojekts "Grozījumi Administratīvās atbildības likumā" (Nr. 615/Lp14), kā arī likumprojekts "Grozījumi likumā "Par interešu konflikta novēršanu valsts amatpersonu darbībā"" (Nr. 591/Lp14), tad nepieciešamie likumu grozījumi iesniedzami Saeimai kā priekšlikumi uz likumprojektu trešo 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tika konstatēts, ka šobrīd nav virzāmi grozījumi likuma "Par interešu konflikta novēršanu valsts amatpersonu darbībā" 10. panta pirmajā daļā attiecībā uz to papildināšanu ar Nodokļu un muitas policijas priekšnieku un tā vietnieku, jo ir nepieciešama papildu diskusija ar regulējuma izstrādē iesaistītajām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nav uzskatāmi par steidzamiem grozījumi septiņos likumos</w:t>
      </w:r>
      <w:r w:rsidR="00000000" w:rsidRPr="00000000" w:rsidDel="00000000">
        <w:rPr>
          <w:rtl w:val="0"/>
        </w:rPr>
        <w:t xml:space="preserve">: likums "Par policiju", Administratīvo sodu likums par pārkāpumiem pārvaldes, sabiedriskās kārtības un valsts valodas lietošanas jomā, Ieroču aprites likums, Apsardzes darbības likums, Gaisa kuģu pasažieru datu apstrādes likums, Latvijas Republikas Zemessardzes likums un Valsts civildienesta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Šajos likumos grozījumi saistībā ar īstenoto Valsts ieņēmumu dienesta reorganizāciju virzāmi vienlaikus kopā ar citiem grozījumiem konkrētajā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grozījumus nav nepieciešams veikt Pasta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Valsts ieņēmumu dienesta Nodokļu un policijas pārvaldes pārstāvja sniegtajam skaidrojumam, ja atbildīgā Valsts ieņēmumu dienesta struktūrvienība saņems informāciju no pasta komersanta par pārrobežu pasta sūtījumu, kas satur aizliegtas vielas vai priekšmetus, tā nepieciešamības gadījumā minēto informāciju tālāk pārsūtīs Nodokļu un muitas policijai.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 (tiks izveidota ar 2026.gada 1.janvāri)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ar mērķi precizēt iestādes nosaukumu atbilstoši īstenotajai Valsts ieņēmumu dienesta reorganizācijai. Tādējādi likumprojektam nav ietekme uz Nodokļu un muitas policijas funkcijām un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24-TA-1946</w:t>
    </w:r>
    <w:r>
      <w:br/>
    </w:r>
    <w:r w:rsidR="00000000" w:rsidRPr="00000000" w:rsidDel="00000000">
      <w:rPr>
        <w:rtl w:val="0"/>
      </w:rPr>
      <w:t xml:space="preserve">Izdrukāts 29.07.2026. 21.26 - 2.0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24-TA-1946</w:t>
    </w:r>
    <w:r>
      <w:br/>
    </w:r>
    <w:r w:rsidR="00000000" w:rsidRPr="00000000" w:rsidDel="00000000">
      <w:rPr>
        <w:rtl w:val="0"/>
      </w:rPr>
      <w:t xml:space="preserve">Izdrukāts 29.07.2026. 21.26 - 2.0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anotācija_(ex_ante)_24-TA-1946.docx</dc:title>
</cp:coreProperties>
</file>

<file path=docProps/custom.xml><?xml version="1.0" encoding="utf-8"?>
<Properties xmlns="http://schemas.openxmlformats.org/officeDocument/2006/custom-properties" xmlns:vt="http://schemas.openxmlformats.org/officeDocument/2006/docPropsVTypes"/>
</file>