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20. jūnija noteikumos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Noteikumu projekts) ir  Labklājības ministrijas (turpmāk – LM) iniciatīva.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3.1.2.5.i. investīcijas "Bezdarbnieku, darba meklētāju un bezdarba riskam pakļauto iedzīvotāju iesaiste darba tirgū" (turpmāk – 3.1.2.5.i. investīcija) projekta īstenošanas termiņu un noslēguma progresa informācijas (pārskata) iesniegšanas nosacījumus, 3.1.2.5.i. investīcijas mērķrādītāju un nacionālā rādītāja sasniegšanas nosacījumus, kā arī precizēt finansējuma saņēmēja un sadarbības partnera pienākumus attiecībā uz interešu konflikta, korupcijas un krāpšanas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20. jūnija noteikumi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MK noteikumi Nr. 323)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3.1.2.5.i. investīcijas īstenošanā sasniedzamo nacionālo rādītāju un mērķrādītājus (2.2. apakšpunkts, 6.1.</w:t>
      </w:r>
      <w:r w:rsidR="00000000" w:rsidRPr="00000000" w:rsidDel="00000000">
        <w:rPr>
          <w:vertAlign w:val="superscript"/>
          <w:rtl w:val="0"/>
        </w:rPr>
        <w:t xml:space="preserve">1</w:t>
      </w:r>
      <w:r w:rsidR="00000000" w:rsidRPr="00000000" w:rsidDel="00000000">
        <w:rPr>
          <w:rtl w:val="0"/>
        </w:rPr>
        <w:t xml:space="preserve"> apakšpunkts un 6.2. apakšpunkts, kā arī citi ar to izpildi saistītie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kvalitātes valsts dienesta (turpmāk – IKVD) uzdevumus izglītības iestāžu uzraudzības un mācību procesa kvalitātes kontrolei MK noteikumu Nr. 323 15.3., 15.4. un 15.6. apakšpunktā minēto atbalstāmo darbību ietvaros (15.15.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stipendijas izmaksas bezdarbniekiem, kuri piedalās MK noteikumu Nr. 323 15.3.1., 15.3.2., 15.4., 15.5. un 15.6. apakšpunktā minētajās atbalstāmajās darbībās, piemērojot ministrijas izstrādāto metodiku par vienas vienības izmaksu standarta likmes aprēķinu un piemērošanu profesionālās un neformālās izglītības mācību programmas apguves un stipendijas izmaksām (turpmāk – mācību izmaksu metodika) (16.2.1.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  piesaistot 3.1.2.5.i. investīcijas projekta atbalstāmo darbību veikšanai nepieciešamo personālu vai īstenojot publiskos iepirkumus, finansējuma saņēmējam un sadarbības partnerim ir jānodrošina, ka 3.1.2.5.i. investīcijas projekta īstenošanas laikā tiek ievēroti interešu konflikta, korupcijas un krāpšanas novēršanas nosacījumi, vismaz paredzot, ka projekta vadībā un īstenošanā iesaistītais personāls un iepirkumu līgumu izpildītāji  ir: 1) informēti par korupcijas un interešu konflikta novēršanas jautājumiem un krāpšanas pazīmēm; 2) parakstījuši apliecinājumus par interešu konflikta neesību un par pienākumu ziņot par konstatētajiem vai iespējamajiem trūkumiem un pārkāpumiem; 3)  informēti par iespēju ziņot par pārkāpumiem un par ziņotāju aizsardzību atbilstoši Trauksmes celšanas likumam (26.1.1. apakšpunkts un tā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nosacījumus un termiņus finansējuma saņēmējam (Nodarbinātības valsts aģentūrai (turpmāk – NVA)) informācijas ievadei vadības informācijas sistēmā Atveseļošanas fonda plāna īstenošanas progresa pusgada ziņojuma un maksājuma pieprasījuma sagatavošanai (26.2.6.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nosacījumu, ka 3.1.2.5.i. investīcijas projektu īsteno līdz 2026. gada 30. jūnijam (34.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18. jūlijā Eiropas Komisija (turpmāk – EK) sniegusi viedokli par  Padomes īstenošanas lēmuma par Latvijas Atveseļošanas un noturības plāna novērtējuma apstiprināšanu (turpmāk – padomes lēmums) grozījumu projektu un rosina administratīvā sloga mazināšanas nolūkā izslēgt no padomes lēmuma 129. mērķrādītāju (līdz 2025. gada 31. martam – 10 000 bezdarbnieki, darba meklētāji, bezdarba riskam pakļautie iedzīvotāji ar pilnveidotām prasmēm). LM atbalsta EK ierosinājumu, jo 129. mērķrādītāja (starpposma mērķrādītāja) vērtības sasniegšana, noslēdzoties 3.1.2.5.i. investīcijas projektam, tiks vērtēta kopā ar 130. mērķrādītāja (līdz 2026. gada 30. jūnijam  – 20 450 bezdarbnieki, darba meklētāji, bezdarba riskam pakļautie iedzīvotāji ar pilnveidotām prasmēm)  izpildi, kas jau sākotnēji tika plānota kā kumulatīva vērtība un saturēja 129. mērķrādītāja vērtību.  Papildus atbilstoši 2025. gada 24. oktobra precizējumiem padomes lēmuma grozījumu projektā, panākta vienošanās ar EK par 130. mērķrādītāja nosaukuma un izpildes termiņa maiņu. Atbilstoši 2025. gada 12. decembrī apstiprinātajiem Latvijas Atveseļošanas un noturības mehānisma plāna grozījumiem Nr. 3 un padomes lēmuma grozījumiem MK noteikumu Nr. 323 6.2.2. apakšpunktā precizējams mērķrādītāja nosaukums un tā izpildes termiņš, t.i., no “līdz 2026. gada 30. jūnijam  – 20 450 bezdarbnieki, darba meklētāji, bezdarba riskam pakļautie iedzīvotāji ar pilnveidotām prasmēm” uz “līdz 2025. gada 31. decembrim – 20 450 personas, kuras piedalījušās mācībās”. Izpildes termiņa maiņa ierosināta, jo atbilstoši 2025. gada 26. augustā apstiprinātajam 3.1.2.5.i. investīcijas projekta progresa pārskatam Nr. 6 dalību 3.1.2.5.i. investīcijas projektā līdz 2025. gada 30. jūnijam ir pabeigušas 21 736  unikālas mērķa grupas personas, t.i., ir izpildīts 130. mērķrādītājs. 2025. gada 7. novembrī LM Kohēzijas politikas fondu vadības informācijas sistēmā iesniedza informāciju (CoverNote) par 130. mērķrādītāja sasniegšanu. Attiecīgi LM ir izpildījusi nosacījumu par 130. mērķrādītāja izpildi ziņot EK reizē ar ceturto maksājuma pieprasījumu.  Vienlaikus jāatzīmē, ka līdz 2025. gada 31. oktobrim 3.1.2.5.i. investīcijā dalību ir sākušas 31 628 unikālas personas, t.i., ir sasniegta 93 % nacionālā rādītāja izpilde. Ņemot vērā  3.1.2.5.i. investīcijai pieejamo finansējumu un tā izmantošanai noteikto mērķi – veicināt bezdarbnieku, darba meklētāju un bezdarba riskam pakļauto personu konkurētspēju un iekļaušanos darba tirgū, īstenojot profesionālās izglītības, pārkvalifikācijas, kvalifikācijas paaugstināšanas un neformālās izglītības pasākumus, ir iespējams 3.1.2.5.i. investīcijā iesaistīt lielāku mērķa grupas personu skaitu kā sākotnēji prognozēts (skaidrojums par iemesliem sniegts šīs sadaļas apakšsadaļas “Risinājuma apraksts” 2. punktā). Attiecīgi ir nepieciešams palielināt sākotnēji prognozētā nacionālā rādītāja vērtību par 4 997 vienībām. Par nacionālo rādītāju ziņot EK nav nepieciešams, līdz ar to finansējumu tā sasniegšanai var izmantot līdz 2026. gada beigām jeb 2026. gada 15. novembrim (ieskaitot), pusotru mēnesi paredzot Centrālai finanšu un līgumu aģentūrai (turpmāk – CFLA) noslēguma pārskata izskatīšanai un apstiprināšanai. Šobrīd MK noteikumi Nr. 323 to neparedz. Vienlaikus, ņemot vērā mērķa grupas skaita palielinājumu un iesaistes termiņa pagarinājumu, NVA, iespējams, vēlāk uzsāks 4.3.3.1. pasākuma īstenošanu (atkarībā no tā, kādās mācību programmās pēc to ilguma tiks iesaistīta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3.1.2.5.i. investīciju, secināts, ka MK noteikumu Nr. 323 15.15. apakšpunktā ir ietverta atsauce uz 3.1.2.5.i. investīcijas 15.6. apakšpunktā ietverto atbalstāmo darbību – augstākās izglītības iestādes studiju moduļu vai studiju kursu apguve mērķa grupas personām, kuras īstenošanas uzraudzība nav IKVD kompetencē, jo IKVD neuzrauga augstākās izglītības iestādes. Attiecīgi MK noteikumu Nr. 323 15.15. apakšpunktā nav nepieciešams ietvert atsauci uz 15.6.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16.2.1. apakšpunktu 3.1.2.5.i. investīcijas projektā tiek piemērota mācību izmaksu metodika. Atbilstoši LM 2025. gada 6. oktobra rīkojumam Nr. 3/AF “Par vienības izmaksu metodikas “Vienības izmaksu standarta likmes aprēķina un piemērošanas metodika mācību un stipendijas izmaksām” apstiprināšanu” aktualizēta mācību izmaksu metodika, precizēts arī tās nosaukums. Līdzšinējais metodikas nosaukums – “Vienības izmaksu standarta likmes aprēķina un piemērošanas metodika profesionālās un neformālās izglītības mācību programmas apguves un stipendijas izmaksām” neaptvēra transportlīdzekļu un traktortehnikas vadītāju mācības, tāpēc mācību izmaksu metodikas nosaukums mainīts uz “Vienības izmaksu standarta likmes aprēķina un piemērošanas metodika mācību un stipendijas izmaksām”, aptverot visus mācību veidus. Vienlaikus secināts, ka, nodrošinot analoģiju ar 4.3.3.1. pasākuma “Bezdarbnieku, darba meklētāju un bezdarba riskam pakļauto personu kvalifikācijas un prasmju paaugstināšana” (turpmāk – 4.3.3.1. pasākums)  īstenošanas nosacījumiem,  nepieciešams veikt mācību izmaksu metodikas precizējumus, nosakot, ka no 2026. gada 1. janvāra no mācību izmaksu metodikas tiks izņemtas izmaksas stipendijām, t.i., turpmāk tās paredzēts veikt atbilstoši faktiskajām izmaksām. Bezdarbnieka stipendijas apmēru profesionālās apmācības, pārkvalifikācijas un kvalifikācijas paaugstināšanas un neformālās izglītības ieguves laikā, kā arī stipendijas piešķiršanas, atlīdzināšanas un piedziņas kārtību nosaka 2011. gada 25. janvāra noteikumi Nr. 75 "Noteikumi par aktīvo nodarbinātības pasākumu un preventīvo bezdarba samazināšanas pasākumu organizēšanas un finansēšanas kārtību un pasākumu īstenotāju izvēles principiem" (turpmāk – MK noteikumi Nr. 75) (1.4. apakšpunkts). Attiecīgi MK noteikumu Nr. 323 16.1.2. apakšpunktā nav nepieciešams ietvert atsauci uz mācību izmaksu metodiku un redakcionāli precizējams 16.3.3. apakšpunkts, nodrošinot mācību izmaksu metodikas nosaukuma atšifrējumu;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interešu konflikta, korupcijas un krāpšanas novēršanas nosacījumiem MK noteikumos Nr. 323 noteiktā prasība – ievērot konflikta, korupcijas un krāpšanas novēršanas nosacījumus – ir attiecināma uz finansējuma saņēmēja un sadarbības partnera piesaistīto personālu, ne uz iepirkumu līgumu izpildītājiem (proti, tā saskaņā ar normatīvajiem aktiem publisko iepirkumu jomā nav saistoša). Tāpēc ir nepieciešams redakcionāli precizēt MK noteikumu Nr. 323 26.1.1. apakšpunktu, svītrojot pienākumu šo prasību ievērot iepirkumu līgumu izpildītajiem, kā arī salāgot interešu konflikta, korupcijas un krāpšanas novēršanas nosacījumus ar citos nozares normatīvajos aktos ietvertajām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Uzsākoties arvien jaunām atbalsta aktivitātēm personām ar invaliditāti, tostarp 4.3.3.1. pasākumam, nepieciešams paredzēt nosacījumus, lai novērstu dubultfinansēšanas risku, piešķirot atbalstu darba devējiem bezdarbnieku ar invaliditāti darba vietu pielāgošanai. Analogi kā tas ir nodrošināts, izstrādājot MK noteikumus 4.3.3.1. pasākuma īstenošanai un uzraudzībai, arī MK noteikumos Nr. 323 nepieciešams ietvert nosacījumus finansējuma saņēmējam (NVA), piešķirot finansējumu darba devējiem praktisko mācību ietvaros (MK noteikumu Nr. 323 15.8. un 15.9. apakšpunktā minētā atbalstāmā darbība) darba vietu pielāgošanai bezdarbniekiem ar invaliditāti, lai turpmāk nodrošinātu demarkāciju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 minēts iepriekš, nacionālā rādītāja sasniegšana paredzēta līdz 2026. gada novembrim. Savukārt atbilstoši 2025. gada 30. septembra sanāksmē ar Finanšu ministriju kā koordinējošo iestādi un CFLA pārrunātajam, investīciju īstenošanas gala termiņš ir tad, kad CFLA ir apstiprinājusi noslēguma maksājumu. Šis termiņš nebūs vēlāk kā 2026. gada 31. decembris. Attiecīgi ir nepieciešams precizēt MK noteikumos Nr. 323 3.1.2.5.i. investīcijas projekta īstenošanas termiņu.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projekts paredz veikt šādus precizējumus MK noteikumos Nr. 323: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6.1.</w:t>
      </w:r>
      <w:r w:rsidR="00000000" w:rsidRPr="00000000" w:rsidDel="00000000">
        <w:rPr>
          <w:vertAlign w:val="superscript"/>
          <w:rtl w:val="0"/>
        </w:rPr>
        <w:t xml:space="preserve">1</w:t>
      </w:r>
      <w:r w:rsidR="00000000" w:rsidRPr="00000000" w:rsidDel="00000000">
        <w:rPr>
          <w:rtl w:val="0"/>
        </w:rPr>
        <w:t xml:space="preserve"> apakšpunktā ietverto nacionālo rādītāju: līdz 2026. gada 30. jūnijam 33 961 atbalstu saņēmušie (dalību uzsākušie) bezdarbnieki, darba meklētāji, bezdarba riskam pakļautās personas (unikālās mērķa grupas personas), pārskatot tā izpildes ziņošanas termiņu līdz 2026. gada 15. novembrim, kā arī palielinot to par 4 997 vienībām, t.i., no 33 961 uz 38 958.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NVA sniegto informāciju, kopumā 3.1.2.5.i. investīcijas projektā, novirzot 26 989 204 </w:t>
      </w:r>
      <w:r w:rsidR="00000000" w:rsidRPr="00000000" w:rsidDel="00000000">
        <w:rPr>
          <w:i w:val="1"/>
          <w:rtl w:val="0"/>
        </w:rPr>
        <w:t xml:space="preserve">euro</w:t>
      </w:r>
      <w:r w:rsidR="00000000" w:rsidRPr="00000000" w:rsidDel="00000000">
        <w:rPr>
          <w:rtl w:val="0"/>
        </w:rPr>
        <w:t xml:space="preserve">, līdz 2025. gada 31. oktobrim ir iesaistītas 39 639 mērķa grupas personas, no tām 31 628 ir unikālas mērķa grupas personas.  Līdz ar to nacionālā rādītāja izpilde ir nodrošināta 93% no šobrīd MK noteikumos Nr. 323 paredzētā. Plānojot nacionālo rādītāju, tika izdarīts pieņēmums, ka kopumā indikatīvi tiks nodrošinātas 43 429 dalības (atbilstoši spēkā esošajam regulējumam, kas noteikts  MK noteikumu Nr. 75 6. punktā, viena persona var piedalīties vairākās atbalstāmajās darbībās, līdz ar to viena unikālā mērķa grupas persona piedalīsies atbalstāmajās darbībās vidēji 1,3 reizes), lai sasniegtu 33 961 unikālas mērķa grupas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nacionālā rādītāja vērtību ir nepieciešams pārskatīts,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sākotnējā 43 429 dalību aprēķinā un attiecīgi unikālo mērķa grupas personu  skaitā (33 961) netika ietverts plānotais atvērto tiešsaistes kursu platformā piedāvāto augstākās izglītības iestādes vai nozares uzņēmuma izstrādāto izglītības programmu (turpmāk – platformu mācības) apguvē iesaistīto dalībnieku skaits. Platformu mācību nodrošināšanai NVA ir iegādājusies 500 licenču abonēšanu. Ievērojot, ka vienu licenci var izmantot indikatīvi 3,5 dalībnieki, līdz ar to platformu mācībās ir plānotas 1 750 dalības no kurām indikatīvi </w:t>
      </w:r>
      <w:r w:rsidR="00000000" w:rsidRPr="00000000" w:rsidDel="00000000">
        <w:rPr>
          <w:b w:val="1"/>
          <w:rtl w:val="0"/>
        </w:rPr>
        <w:t xml:space="preserve">1 549</w:t>
      </w:r>
      <w:r w:rsidR="00000000" w:rsidRPr="00000000" w:rsidDel="00000000">
        <w:rPr>
          <w:rtl w:val="0"/>
        </w:rPr>
        <w:t xml:space="preserve"> ir plānotas unikālas personas (aprēķins balstīts pieņēmumā par līdz šim platformu mācībās iesaistīto unikālo personu skaitu, t.i., viena unikālā mērķa grupas persona piedalās platformu mācībās vidēji 1,13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secināts, ka viena mērķa grupas persona 3.1.2.5.i. investīcijas projektā piedalās vidēji 1,2 reizes, kas ir par 0,1 reizēm mazāk kā sākotnēji tika plānots. Rezultātā veidojas par </w:t>
      </w:r>
      <w:r w:rsidR="00000000" w:rsidRPr="00000000" w:rsidDel="00000000">
        <w:rPr>
          <w:b w:val="1"/>
          <w:rtl w:val="0"/>
        </w:rPr>
        <w:t xml:space="preserve">2 432</w:t>
      </w:r>
      <w:r w:rsidR="00000000" w:rsidRPr="00000000" w:rsidDel="00000000">
        <w:rPr>
          <w:rtl w:val="0"/>
        </w:rPr>
        <w:t xml:space="preserve"> unikālām personām vairāk 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tuvojoties 3.1.2.5.i. investīcijas noslēgumam, NVA, veicot aprēķinus, ir secinājusi, ka līdz 2026. gada 15. novembrim NVA pieejamā finansējuma ietvaros var sniegt atbalstu papildus 1 181 dalībniekiem, t.sk. 190 dalībām tālākizglītības programmu apguvei jeb</w:t>
      </w:r>
      <w:r w:rsidR="00000000" w:rsidRPr="00000000" w:rsidDel="00000000">
        <w:rPr>
          <w:b w:val="1"/>
          <w:rtl w:val="0"/>
        </w:rPr>
        <w:t xml:space="preserve"> 190</w:t>
      </w:r>
      <w:r w:rsidR="00000000" w:rsidRPr="00000000" w:rsidDel="00000000">
        <w:rPr>
          <w:rtl w:val="0"/>
        </w:rPr>
        <w:t xml:space="preserve"> unikālām personām un 991 dalībai neformālās izglītības programmu apguvei jeb </w:t>
      </w:r>
      <w:r w:rsidR="00000000" w:rsidRPr="00000000" w:rsidDel="00000000">
        <w:rPr>
          <w:b w:val="1"/>
          <w:rtl w:val="0"/>
        </w:rPr>
        <w:t xml:space="preserve">826 </w:t>
      </w:r>
      <w:r w:rsidR="00000000" w:rsidRPr="00000000" w:rsidDel="00000000">
        <w:rPr>
          <w:rtl w:val="0"/>
        </w:rPr>
        <w:t xml:space="preserve">unikālām personām, tam novirzot indikatīvi  790 052,91</w:t>
      </w:r>
      <w:r w:rsidR="00000000" w:rsidRPr="00000000" w:rsidDel="00000000">
        <w:rPr>
          <w:i w:val="1"/>
          <w:rtl w:val="0"/>
        </w:rPr>
        <w:t xml:space="preserve"> euro</w:t>
      </w:r>
      <w:r w:rsidR="00000000" w:rsidRPr="00000000" w:rsidDel="00000000">
        <w:rPr>
          <w:rtl w:val="0"/>
        </w:rPr>
        <w:t xml:space="preserve">. Minētie pieņēmumi balstīti uz šādu aprēķinu: viena dalībnieka vidējās izmaksas iesaistei tālākizglītības programmu apguvē tiek plānotas 1719,43 </w:t>
      </w:r>
      <w:r w:rsidR="00000000" w:rsidRPr="00000000" w:rsidDel="00000000">
        <w:rPr>
          <w:i w:val="1"/>
          <w:rtl w:val="0"/>
        </w:rPr>
        <w:t xml:space="preserve">euro</w:t>
      </w:r>
      <w:r w:rsidR="00000000" w:rsidRPr="00000000" w:rsidDel="00000000">
        <w:rPr>
          <w:rtl w:val="0"/>
        </w:rPr>
        <w:t xml:space="preserve"> un mērķa grupas persona 3.1.2.5.i. investīcijas projektā piedalās vidēji 1 reizi. Viena dalībnieka vidējās izmaksas iesaistei neformālās izglītības programmu apguvē tiek plānotas 467,57 </w:t>
      </w:r>
      <w:r w:rsidR="00000000" w:rsidRPr="00000000" w:rsidDel="00000000">
        <w:rPr>
          <w:i w:val="1"/>
          <w:rtl w:val="0"/>
        </w:rPr>
        <w:t xml:space="preserve">euro</w:t>
      </w:r>
      <w:r w:rsidR="00000000" w:rsidRPr="00000000" w:rsidDel="00000000">
        <w:rPr>
          <w:rtl w:val="0"/>
        </w:rPr>
        <w:t xml:space="preserve"> un vidēji mērķa grupas persona 3.1.2.5.i. investīcijas projektā piedalās vidēji 1,2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nepieciešams palielināt par </w:t>
      </w:r>
      <w:r w:rsidR="00000000" w:rsidRPr="00000000" w:rsidDel="00000000">
        <w:rPr>
          <w:b w:val="1"/>
          <w:rtl w:val="0"/>
        </w:rPr>
        <w:t xml:space="preserve">4 997 </w:t>
      </w:r>
      <w:r w:rsidR="00000000" w:rsidRPr="00000000" w:rsidDel="00000000">
        <w:rPr>
          <w:rtl w:val="0"/>
        </w:rPr>
        <w:t xml:space="preserve">vienībām 3.1.2.5.i. investīcijas projektā uzsākušo unikālo personu skaitu (nacionālo rādītāju), kopā plānojot, ka 3.1.2.5.i. investīcijas projektā dalību sāks </w:t>
      </w:r>
      <w:r w:rsidR="00000000" w:rsidRPr="00000000" w:rsidDel="00000000">
        <w:rPr>
          <w:b w:val="1"/>
          <w:rtl w:val="0"/>
        </w:rPr>
        <w:t xml:space="preserve">38 958 </w:t>
      </w:r>
      <w:r w:rsidR="00000000" w:rsidRPr="00000000" w:rsidDel="00000000">
        <w:rPr>
          <w:rtl w:val="0"/>
        </w:rPr>
        <w:t xml:space="preserve">unikālās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nepieciešams precizēt 6.2. apakšpunktu, izslēdzot 6.2.1. apakšpunktā norādīto 129. mērķrādītāju “līdz 2025. gada 31. martam – 10 000 bezdarbnieki, darba meklētāji, bezdarba riskam pakļautie iedzīvotāji ar pilnveidotām prasmēm”, kā arī precizēt 6.2.2. apakšpunktā norādītā mērķrādītāju no  “līdz 2026. gada 30. jūnijam  – 20 450 bezdarbnieki, darba meklētāji, bezdarba riskam pakļautie iedzīvotāji ar pilnveidotām prasmēm” uz “līdz 2025. gada 31. decembrim – 20 450 personas, kuras piedalījušās mācībās”. 6.2.2. apakšpunktā norādītā mērķrādītāja vērtība un tā uzskaites pieeja netiek mainīta. Šī (130.) mērķrādītāja vērtība jau sākotnēji bija noteikta kumulatīvi (ietvēra izslēgtā 129. mērķrādītāja vērtību). Kā minēts problēmas aprakstā, 130. mērķrādītājs ir jau izpildīts. Šāda pieeja nodrošinās iespēju uzsākt 4.3.3.1. pasākuma projekta īstenošanu no 2026. gada 1. janvāra, novēršot dubultfinansēšanas risku. Savukārt atlikušo 3.1.2.5.i. investīcijas finansējumu plānots investēt 2026. gadā līdz tā pilnīgai izmantošanai, bet ne vēlāk kā līdz 2026. gada 15. novembrim, nodrošinot nepieciešamos pasākumus dubultfinansēšanas riska novēršanai. Demarkāciju starp īstenotajiem projektiem ir plānots īstenot NVA līmenī, mērķa grupas personas atbalstāmajās darbībās iesaistot atbilstoši MK noteikumu Nr. 75 nosacījumiem par personas atkārtotu dalību pasākumā, tādējādi novēršot arī dubultfinansēšanas risku attiecībā uz mērķa grupas iesaisti mācībās. Dubultfinansēšanas risks starp 4.3.3.1. pasākuma projektu un 3.1.2.5.i. investīcijas projektu tiks novērsts un informācijas caurspīdīgums nodrošināts līdzīgi kā to finansējuma saņēmējs (NVA) ir īstenojis un CFLA nodrošinājusi šī procesa uzraudzību, piemēram, noslēdzoties  7.1.1. specifiskā atbalsta mērķa “Paaugstināt bezdarbnieku kvalifikāciju un prasmes atbilstoši darba tirgus pieprasījumam” (turpmāk – 7.1.1. SAM) un 14.1.2. specifiskā atbalsta mērķa “Atveseļošanas pasākumi labklājības jomā” (turpmāk – 14.1.2. SAM) ietvaros īstenotā projekta Nr. 7.1.1.0/15/I/001 “Atbalsts bezdarbnieku izglītībai” īstenošanai un uzsākoties 3.1.2.5.i. investīcijas projekta īstenošanai. Katram projektam ir/ būs sava ar CFLA noslēgta vienošanās par projekta īstenošanu, kurā atrunāti specifiski nosacījumi projektu īstenošanā, savs norēķinu konts, atsevišķa grāmatvedības uzskaite, nodrošināta atsevišķa mērķa grupas dalībnieku  un norēķinu ar pakalpojumu sniedzējiem (arī izglītības iestādēm) uzskaite Bezdarbnieku uzskaites un reģistrēto vakanču informācijas sistēmā (turpmāk – BURVIS). BURVIS funkcionalitāte nodrošina datu uzkrāšanu par mērķa grupas personas dalību vēsturi NVA mācību pasākumos, sniedzot iespēju veikt personas atbilstības mērķa grupai un dalības nosacījumiem pasākumā pārbaudi. Arī projekta personāls pakāpeniski no 3.1.2.5.i. investīcijas projekta tiks pārvirzīts 4.3.3.1. pasākuma projektā, nodalot personāla pienākumus un izmaksas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NVA ir izstrādāta projektu īstenošanas uzraudzības iekšējās kontroles sistēma, kā arī NVA tāpat kā līdz šim ievēros tiesību aktu prasības dokumentu sagatavošanā, izmaksu attiecināmības nodrošināšanā, grāmatvedības kārtošanā un nodokļu uzskaitē, tādējādi nodrošinot, ka 4.3.3.1. pasākuma projekta ietvaros izmaksas ir attiecināmas, ja tās radušās ne agrāk 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3.1.2.5.i. investīcijas ietvaros mērķa grupas personu iesaiste atbalstāmajās darbībās uzsākās 2023. gada II. pusgadā, kad noslēdzās jaunu mērķa grupas personu iesaiste mācību pasākumos 7.1.1. SAM un 14.1.2. SAM ietvaros. Demarkāciju starp īstenotajiem projektiem (7.1.1. SAM un 14.1.2. SAM, 3.1.2.5.i. investīcija un 4.3.3.1. pasākums), kā minēts iepriekš, nodrošina NVA, personas atbalstāmajās darbībās iesaistot atbilstoši MK noteikumu Nr. 75 nosacījumiem par personas atkārtotu dalību attiecīgajā 3.1.2.5.i. investīcijas atbalstāmajā darbībā (6., 31.2, 32. un 33.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2023. gadā tika nodrošināta arī demarkācija ar darbības programmas "Izaugsme un nodarbinātība" 8.4.1. specifisko atbalsta mērķi "Pilnveidot nodarbināto personu profesionālo kompetenci" (turpmāk – 8.4.1. SAM)  (projekts noslēdzās 2023. gada 31.decembrī), paredzot, ka bezdarba riskam pakļautām (nodarbinātām) personām 3.1.2.5.i investīcijas ietvaros netiks sniegts atbalsts profesionālajai pilnveidei un tālākizglītībai (viens no 3.1.2.5.i investīcijas projekta mācību veidiem, kurā, iesaista tikai reģistrētus bezdarbniekus), kas tiek īstenotas 8.4.1. SAM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nodrošinot demarkāciju un papildināmību ar citiem finanšu instrumentiem, turpmāk ir jāievēro arī Noteikumu projekta 12. punktā noteiktais, t.i., īstenojot praktiskās mācības (MK noteikumu Nr. 323 15.8. un 15.9. apakšpunktā minētā atbalstāmā darbība) un piešķirot darba devējiem 16.3.6.4. apakšpunktā minētās izmaksas, jāievēro nosacījums, ka izmaksas piešķir darba devējam, kurš pēdējo piecu gadu laikā nav saņēmis dotāciju konkrētā bezdarbnieka ar invaliditāti darba vietas pielāgošanai.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323 16.3.12. apakšpunkts paredz arī (pēc nepieciešamības) NVA pārziņā esošās BURVIS pielāgošanas izmaksas, piemērojot mācību izmaksu metodikas izmaiņas, veidojot papildināmību ar 4.3.3.1. pasākumu un Programmas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pasākumu "Nodarbinātības valsts aģentūras veiktspējas stiprināšana un pakalpojumu modernizēšana" (turpmāk – 4.3.3.6. pasākums). 4.3.3.1. un 4.3.3.6. pasākumā arī paredzētas izmaksas BURVIS pilnveidei, tāpēc NVA, lai novērstu dubultās finansēšanas risku, nodrošina, ka izmaksas par vieniem un tiem pašiem BURVIS pilnveidojumiem netiek segtas no 3.1.2.5.i. investīcijas projekta, 4.3.3.1. pasākuma projekta un 4.3.3.6. pasākuma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novērstu dubultā finansējuma riskus starp Ekonomikas ministrijas (turpmāk – EM), LM un Izglītības un zinātnes ministrijas (turpmāk – IZM) īstenotajām pieaugušo izglītības programmām (AF plāna 2. komponentes "Digitālā transformācija" 2.3. reformu un investīciju virziena "Digitālās prasmes": 2.3.1.2.i. investīcija "Uzņēmumu digitālo prasmju attīstība" (turpmāk – 2.3.1.2.i. investīcija), 2.3.1.3.i. investīcija "Pašvadītas IKT speciālistu mācību pieejas attīstība" (turpmāk – 2.3.1.3.i. investīcija), 2.3.2.1.i. investīcija "Digitālās prasmes iedzīvotājiem t.sk. jauniešiem"  un Programmas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pasākums "Atbalsts nozaru vajadzībās balstītai pieaugušo izglītībai", 4.2.4.2. pasākums "Atbalsts pieaugušo individuālajās vajadzībās balstītai pieaugušo izglītībai" (turpmāk – 4.2.4.2. pasākums) un Taisnīgas pārkārtošanās fonda 6.1.1. specifiskā atbalsta mērķa "Pārejas uz klimatneitrālitāti radīto ekonomisko, sociālo un vides seku mazināšana visvairāk skartajos reģionos" 6.1.1.5. pasākums “Nodarbināto prasmju paaugstināšana un atbalsts kvalifikācijas iegūšanai, atbalsts darbaspēka mācībām saskaņā ar uzņēmumu pieprasījumu” (turpmāk – 6.1.1.5.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- 3.1.2.5.i. investīcijas ietvaros atbalsts profesionālās pilnveides un tālākizglītības programmu apguvei bezdarba riskam pakļautajām (nodarbinātām) personām nav plānots. Atbalsts profesionālās pilnveides un tālākizglītības programmu apguvei, kas dod iespēju apgūt darba tirgus prasībām atbilstošas sistematizētas profesionālās zināšanas un prasmes, nodarbinātiem – bezdarba riskam pakļautajiem, pieejams 4.2.4.2.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- 3.1.2.5.i. investīcijas MK noteikumu Nr. 323 15.3., 15.4. un 15.6.  apakšpunktā minētajās atbalstāmajās darbībās (mācību veids – digitālo prasmju apguve) iesaista mērķa grupas personas, kuras vienlaikus nav atbalsta saņēmēji 2.3.1.4.i. investīcijas un 4.2.4.2. pasākuma ietvaros. 2025. gada 18. jūlijā NVA un Valsts izglītības attīstības aģentūra noslēdza starpresoru vienošanos sadarbībai datu apmaiņā par atbalsta saņēmējiem 3.1.2.5. i., 2.3.1.4.i. investīcijas un 4.2.4.2. pasākuma ietvaros, lai izslēgtu personu vienlaicīgu dalību un dubultfinansēšanas risku līdzvērtīgos atbalsta pasākumos (digitālo prasmju apguves programmas, kurās sakrīt programmas nosaukums, ilgums, mācību veids (profesionālās izglītības programma, modulis, neformālā izglītības programma) utml.). Vienošanās ir plānots veikt grozījumus, lai precīzāk atrunātu demarkācijas nosacījumus starp 3.1.2.5.i. investīcijas, 4.3.3.1. pasākuma, 2.3.1.3.i. investīcijas (attiecināms uz visām 3.1.2.5.i. investīcijas mērķa grupas personām un MK noteikumu Nr. 323 15.4. apakšpunktā minētās atbalstāmās darbības mācību veidu – digitālo prasmju apguve)  un 6.1.1.5. pasākuma (attiecināms uz 3.1.2.5.i. investīcijas mērķa grupas personām  vecumā no 18 līdz 29 gadiem (ieskaitot), kuras nemācās un nav nodarbinātas un 15.3. apakšpunktā minēto atbalstāmo darbību)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Nr. 323 15.3., 15.4. un 15.6. apakšpunktā minētajās atbalstāmajās darbībās iesaista bezdarba riskam pakļautās personas, kuras vienlaikus nav iesaistītas 2.3.1.2.i. investīcijas ietvaros īstenotajās digitālo prasmju apguves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323 26.2.1. apakšpunkts nosaka, ka 3.1.2.5.i. investīcijas atbalstāmās darbības un izmaksas plāno atbilstoši normatīvajiem aktiem par aktīvo nodarbinātības pasākumu un preventīvo bezdarba samazināšanas pasākumu organizēšanas un finansēšanas kārtību un pasākumu īstenotāju izvēles principiem, t.i. atbilstoši MK noteikumiem Nr. 75, ciktāl 3.1.2.5.i. investīcijas īstenošanas noteikumi nenosaka citādi. MK noteikumu Nr. 75 22. punktā ir noteikta Apvienotās pieaugušo izglītības koordinācijas komisijas (turpmāk – APIKK) loma, savukārt 25. punktā ir noteikts NVA pienākums organizēt mācības APIKK noteiktajās jomās, izglītības programmās, profesijās un APIKK noteikto sociālo un profesionālo pamatprasmju apguvei. Saskaņā ar cilvēkkapitāla attīstības pārvaldības modeli pieaugušo izglītībai, EM sadarbībā ar darba devējiem sagatavo darba tirgus vajadzības pieaugušo izglītībai, ko apstiprina Cilvēkkapitāla attīstības padome (turpmāk – CAP), savukārt APIKK apstiprina mācību piedāvājumu, balstoties uz darba tirgus vajadzībām, tādējādi mazinot mācību piedāvājuma sadrumstalotību un pārklāšanos LM, EM un IZM resoros. Plānots, ka attiecībā uz neformālās izglītības programmām, studiju kursiem un studiju moduļiem plānoto mācību vajadzību papildināmība un saskaņotība arī tiks nodrošināta caur APIKK.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CAP ietvaros noteiktajam resoru atbildības sadalījumam EM apkopos, izvērtēs un sagatavos darba tirgus prognozes un ikgadējo nozaru tautsaimniecības vajadzībās un nodarbinātības analīzē balstītu darbaspēka pieprasījumu – sadarbībā ar nozaru ekspertu padomēm nosakot darba tirgum nepieciešamās profesionālās kvalifikācijas un prasmes nozaru un profesiju griezumā, kā arī to nepieciešamo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APIKK nosaka pārkvalifikācijas un prasmju pilnveides programmas bezdarbniekiem, darba meklētājiem un bezdarba riskam pakļautajiem (3.1.2.5.i. investīcijas mērķa grupai) sasaistē ar citiem IZM un EM īstenotajiem pieaugušo izglītības projektiem Latvijā, veicinot gan saskaņota starpinstitucionāla mūžizglītības piedāvājuma noteikšanu gan tā ilgtermiņa stratēģisku attīstību, sekmējot kā pieprasījuma (izglītojamo), tā piedāvājuma (izglītības pakalpojumu sniedzēju) puses iesaisti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 gada demarkācija tiek nodrošināta, APIKK pārskatot un apstiprinot projektu īstenoto izglītības programmu sarakstus, novēršot mācību satura pārklāšanos un līdzīgu programmu īstenošanu vairākos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likumā "Par iedzīvotāju ienākuma nodokli" noteiktajam, Valsts ieņēmumu dienests (turpmāk – VID) veic datu apmaiņu par fizisko personu, tai skaitā veic arī par 3.1.2.5.i. investīcijas mērķa grupas personu izglītības un ārstniecisko pakalpojumu izdevumu kompensācijām. Papildus NVA, iesniedzot VID ikgadējo paziņojumu "Paziņojums par fiziskai personai izmaksātajām summām, sniedz VID" informāciju par visām fiziskām personām izmaksātajām stipendijām un atlīdzībām, tādējādi mazinot dubultfinansēšanas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323 paredz arī NVA pienākumu nodrošināt ar 3.1.2.5.i. investīcijas projekta īstenošanu saistītā finansējuma, tai skaitā privātā līdzfinansējuma (izmaksas, kuras sedz darba devējs praktisko mācību īstenošanai: bezdarbnieku darba algas daļa un valsts sociālās apdrošināšanas obligātās iemaksas par pasākumā iesaistītajiem bezdarbniekiem) uzskaiti, pēc nepieciešamības nodrošinot šīs informācijas sniegšanu kontrolējošām iestādēm. Privātā līdzfinansējuma uzskaiti NVA veic informācijas sistēmās (piemēram, BURVIS) vai izmantojot alternatīvus datu uzkrāšanas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3.1.2.5.i. investīcijai turpmāk būs noteikts viens mērķrādītājs, redakcionāli precizēti arī citi ar mērķrādītāja izpildi saistīti MK noteikumu Nr. 323 punkti/apakšpunkti (2.2. apakšpunkts, 7. punkts un 7.3. apakšpunkts, 20. punkts, 24.5., 26.2.8., 29.3., 30.2., 30.4., 31.2., 31.3. un 32.1.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 precizēt 15.15. apakšpunkta redakciju, izslēdzot atsauci uz 15.6. apakšpunktā norādīto atbalstāmo darbību. Ievērojot to, ka 3.1.2.5.i. investīcijas projektā līdz šim 15.6. apakšpunktā noteiktajā atbalstāmajā darbībā  – augstākās izglītības iestādes studiju moduļu vai studiju kursu apguve mērķa grupas personām, nav iesaistīta neviena mērķa grupas persona (nav bijis mērķa grupas pieprasījums), 15.15. apakšpunkta redakcijas precizējumi nerada ietekmi uz 3.1.2.5.i. investīcijas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16.1.2. apakšpunktu, izslēdzot atsauci uz mācību izmaksu metodiku (kā minēts iepriekš, mācību metodika no 2026. gada 1. janvāra vairs netiks piemērota stipendijām). Atbilstoši izmaiņām 16.1.2. apakšpunktā, redakcionāli precizēt 16.3.3. apakšpunktu, tajā ietverot mācību izmaksu metodikas nosaukuma atšifrējumu un pievienot 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26.1.1. apakšpunktu un ietvert jaunu 26.1.1</w:t>
      </w:r>
      <w:r w:rsidR="00000000" w:rsidRPr="00000000" w:rsidDel="00000000">
        <w:rPr>
          <w:vertAlign w:val="superscript"/>
          <w:rtl w:val="0"/>
        </w:rPr>
        <w:t xml:space="preserve">.1</w:t>
      </w:r>
      <w:r w:rsidR="00000000" w:rsidRPr="00000000" w:rsidDel="00000000">
        <w:rPr>
          <w:rtl w:val="0"/>
        </w:rPr>
        <w:t xml:space="preserve"> apakšpunktu, redakcionāli precizējot finansējuma saņēmēja un sadarbības partnera pienākumus attiecībā uz interešu konflikta, korupcijas un krāpšanas novēršanas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34. punkta redakciju,  3.1.2.5.i. investīcijas projekta īstenošanas termiņu   t.i., nosakot, ka 3.1.2.5.i. investīcijas projektu īsteno līdz 2026. gada 31. decembrim (šobrīd noteikts – līdz 2026. gada 30. jūnijam). Tādējādi mērķa grupas personām iespējami ilgāk paredzēts sniegt atbalstu 3.1.2.5.i. investīcijas projektā un tiktu nodrošināts, ka nebūtu pārtraukums atbalsta sniegšanā mērķa grupai līdz tās iesaiste tiktu uzsākta 4.3.3.1. pasākuma projektā. Tā kā tiek pagarināta 3.1.2.5.i. investīcijas projekta īstenošana, nepieciešams papildināt 26.2.6. apakšpunktu ar nosacījumiem noslēguma progresa informācijas (pārskata) iesniegšanai, jo noslēguma progresa informāciju (pārskatu) NVA varēs iesniegt, kad būs sasniegts nacionālais rādītājs. Attiecīgi tiek noteikts, ka noslēguma progresa informāciju (pārskatu) finansējuma saņēmējs iesniedz vienošanās par projekta īstenošanu ar aģentūru noteiktajā termiņā, bet ne vēlāk kā līdz 2026. gada 15. 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323 nav negatīvas ietekmes uz NVA kā finansējuma saņēmēju. NVA ir informēta par Noteikumu projektu tā izstrādes un saskaņošanas gaitā, tostarp par to, ka Noteikumu projektam atbilstoši grozījumi būs veicami 2023. gada 16. oktobra  vienošanās Nr. 3.1.2.5.i.0/1/23/I/CFLA/001 par projekta īstenošanu, iestrādājot projektā tā īstenošanas termiņa izmaiņas, izmaiņas saistībā ar starpposma mērķrādītāja izslēgšanu no MK noteikumiem Nr. 323, izmaiņas saistībā ar mērķrādītāja (130) definējumu un termiņu,  izmaiņas saistībā ar sasniedzamo nacionālā rādītāja vērtību un sasniegšanas termiņu, izmaiņa saistībā ar demarkācijas un sinerģijas nosacījumu papildināšanu, kā arī izmaiņas saistībā ar noslēguma progresa informācijas (pārskata) iesniegšanas nosacījumiem.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meklētāji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Bezdarba riskam pakļautās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atbalsta saņēmēji, kuriem Noteikumu projekts paredz ilgāku iespēju saņemt 3.1.2.5.i. investīcijā paredzēto atbalstu, jo no 2026. gada 30 jūnija uz 2026. gada 31. decembrim tiek pagarināts projekta īstenošanas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projekta īstenošanas termiņu no 2026. gada 30 jūnija uz 2026. gada 31.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NVA ir iespēja ilgāku laika periodu sniegt atbalstu 3.1.2.5.i. investīcijas mērķa grupai: bezdarbniekiem, darba meklētājiem,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CFLA jāņem vērā iepriekš minētais projekta īstenošanas termiņa pagarinājums, nosakot NVA noslēguma progresa pārskata iesniegšanas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30. septembra Regula (ES, Euratom) 2024/2509 par finanšu noteikumiem, ko piemēro Savienības vispārējam budžetam (ES Oficiālais Vēstnesis, 2024. gada 26. septembris, Nr. L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30. septembra Regula (ES, Euratom) 2024/2509 par finanšu noteikumiem, ko piemēro Savienības vispārējam budžetam (ES Oficiālais Vēstnesis, 2024. gada 26. septembris, Nr. L 2024/2509)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Nodarbinātības valsts aģetūra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tādas izmaiņas, kas skar NVA un CFLA saistošus 3.1.2.5.i. investīcijas projekta īstenošanas un uzraudzības nosacījumus, sabiedrības līdzdalība netika izsludināta.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3.1.2.5.i. investīcijas sākotnēji identificētās horizontālās ietekmes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25-TA-1876</w:t>
    </w:r>
    <w:r>
      <w:br/>
    </w:r>
    <w:r w:rsidR="00000000" w:rsidRPr="00000000" w:rsidDel="00000000">
      <w:rPr>
        <w:rtl w:val="0"/>
      </w:rPr>
      <w:t xml:space="preserve">Izdrukāts 29.07.2026. 21.28 - 4.0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25-TA-1876</w:t>
    </w:r>
    <w:r>
      <w:br/>
    </w:r>
    <w:r w:rsidR="00000000" w:rsidRPr="00000000" w:rsidDel="00000000">
      <w:rPr>
        <w:rtl w:val="0"/>
      </w:rPr>
      <w:t xml:space="preserve">Izdrukāts 29.07.2026. 21.28 - 4.0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anotācija_(ex_ante)_25-TA-1876.docx</dc:title>
</cp:coreProperties>
</file>

<file path=docProps/custom.xml><?xml version="1.0" encoding="utf-8"?>
<Properties xmlns="http://schemas.openxmlformats.org/officeDocument/2006/custom-properties" xmlns:vt="http://schemas.openxmlformats.org/officeDocument/2006/docPropsVTypes"/>
</file>