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29. marta noteikumos Nr. 245 "Noteikumi par speciālo atļauju (licenci) patērētāju kreditēšanas pakalpojumu sniegšanai""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 gada 29. marta noteikumos Nr. 345 " Noteikumi par speciālo atļauju (licenci) patērētāju kreditēšanas pakalpojumu sniegšanai"" (turpmāk - Noteikumu projekts) izstrādāts pēc Ekonomikas ministrijas iniciatīvas, lai radītu tiesisko skaidrību par prasību attiecināmību visā speciālās atļaujas (licences) darbības termiņā, kā arī termiņā, kurā tiek apkalpots kredīta portfelis.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uzlabotu tiesisko skaidrību par Ministru kabineta 2011. gada 29. marta noteikumos Nr. 345 "Noteikumi par speciālo atļauju (licenci) patērētāju kreditēšanas pakalpojumu sniegšanai"" (turpmāk – Noteikumi Nr. 345) noteikto prasību attiecināmību, kurām jāatbilst visā speciālās atļaujas (licences) darbības termiņā, kā arī paredz, ka prasībām jāatbilst, ja pēc speciālās atļaujas (licences) darbības termiņa, tā turpina apkalpot tās rīcībā esošo kredītportfeli.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pienākumu kredīta devējam prasības, kurām jāatbilst, lai saņemtu speciālo atļauju (licenci). Tāpat regulējums paredz, kādos gadījumos speciālā atļauja (licence) var tikt apturēta un anulēta. Taču regulējums tiešā veidā neparedz, ka prasības, kurām kapitālsabiedrībai ir jāatbilst, lai saņemtu speciālo atļauju (licenci), ir attiecināmas uz visu speciālās atļaujas (licences) darbības termiņu, lai gan to var pastarpināti secināt, lasot Noteikumu Nr.345 punktu atsauces. Tāpat regulējums neparedz nekādu prasību atbilstību, ja speciālā atļauja (licence) ir anulēta, bet kapitālsabiedrības rīcībā ir palicis izsniegto kredītu kredītportfelis.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Noteikumos Nr.345 skaidru un nepārprotamu norādi, ka kapitālsabiedrībai ir jānodrošina atbilstība noteikumos noteiktajām prasībām visā speciālās atļaujas (licences) spēkā esamības un izsniegtā kredītportfeļa apkalpošanas laikā, tiek radīta tiesiskā skaidrība, ka visas normatīvajos aktos izvirzītās prasības, kas noteiktas speciālās atļaujas (licences) saņemšanai, ir attiecināmas un izpildāmas visā speciālās atļaujas (licences) darbības periodā. Savukārt normatīvajos aktos noteikto pienākumu attiecināmība, ja kapitālsabiedrības rīcībā pēc speciālās atļaujas (licences) anulēšanas paliek neizstrādāts kredītportfelis, uzliek par pienākumu komersantam nodrošināt gan visu iekšējo kārtību funkcionēšanu (piemēram, kārtību, kas nosaka kredītu piešķiršanu un izsniegto kredītu uzraudzību, patērētāju sūdzību izskatīšanas kārtību, lai saprātīgā termiņā nodrošinātu saņemto sūdzību izskatīšanu un atbilžu sniegšanu u.c.), gan arī sniegt statistisko un citu ar kapitālsabiedrību saistīto informāciju. Šāda pienākuma noteikšana kalpo patērētāju tiesību aizsardzības stiprināšanai un ļaus Patērētāju tiesību aizsardzības centram (PTAC) sekot līdzi kapitālsabiedrības darbībai līdz brīdim, kad kapitālsabiedrības kredītportfelis būs izstrādāts vai pārdots.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Noteikumos Nr. 345 ar jaunu 7.</w:t>
      </w:r>
      <w:r w:rsidR="00000000" w:rsidRPr="00000000" w:rsidDel="00000000">
        <w:rPr>
          <w:vertAlign w:val="superscript"/>
          <w:rtl w:val="0"/>
        </w:rPr>
        <w:t xml:space="preserve">2</w:t>
      </w:r>
      <w:r w:rsidR="00000000" w:rsidRPr="00000000" w:rsidDel="00000000">
        <w:rPr>
          <w:rtl w:val="0"/>
        </w:rPr>
        <w:t xml:space="preserve"> punktu, lai uzlabotu tiesisko skaidrību par Noteikumos Nr.345 noteikto prasību attiecināmību, kurām jāatbilst visā speciālās atļaujas (licences) darbības termiņā, kā arī paredz, ka prasībām jāatbilst, ja pēc speciālās atļaujas (licences) darbības termiņa, tā turpina apkalpot tās rīcībā esošo kredītportfeli.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25-TA-313</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25-TA-313</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anotācija_(ex_ante)_25-TA-313.docx</dc:title>
</cp:coreProperties>
</file>

<file path=docProps/custom.xml><?xml version="1.0" encoding="utf-8"?>
<Properties xmlns="http://schemas.openxmlformats.org/officeDocument/2006/custom-properties" xmlns:vt="http://schemas.openxmlformats.org/officeDocument/2006/docPropsVTypes"/>
</file>