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(turpmāk - Rīkojuma projekts) ir izstrādāti ievērojot grozījumus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(Ministru kabineta 2025.gada 25.jūnija noteikumi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MK noteikumi Nr.435) un tā protokollēmumā (Ministru kabineta 2025.gada 25.jūnija protokols Nr.25 35§) 3.punktā doto uzdevumu  - atbilstoši grozījumiem MK noteikumu Nr.435 4.pielikumā, nozaru ministrijām līdz 2025.gada 30.septembrim iesniegt Valsts kancelejā apstiprināšanai Ministru kabinetā projektu īstenotāju sagatavotos grozījumus Ministru kabineta rīkojumos par projekta īstenošanu.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Eiropas Savienības Atveseļošanas un noturības mehānisma 2.1.2.1.i. investīcijas projekta "Valsts pārvaldes vienota valsts finanšu resursu plānošana un pārvaldības grāmatvedības pakalpojumu nodrošinājums, vienotās resursu vadības ieviešana" dokumentācijā, kas apstiprināta ar Ministru kabineta 2023.gada 28.jūnija rīkojumu Nr.407,  to papildinot ar jauniem projekta īstenošanas partneriem, grozot finansējuma apjomu un sadalījumu pa projekta darbībām iznākumu sasniegšanai, un saskaņot personāla atlīdzības izmaksu saglabāšanu līdzšinējā apjomā.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Eiropas Savienības Atveseļošanas un noturības mehānisma plāna investīcijas 2.1.2.1.i. “Pārvaldes centralizētās platformas un sistēmas” projekta Nr. 2.1.2.1.i.0/1/23/I/VARAM/009 “Valsts pārvaldes vienota valsts finanšu resursu plānošana un pārvaldības grāmatvedības pakalpojumu nodrošinājums, vienotās resursu vadības ieviešana” (turpmāk – Projekts) ietvaros tiek izveidota Centralizēta platforma, kas ietver grāmatvedības un personāla lietvedības risinājumu, izmantojot pieejamo funkcionalitāti Horizon sistēmā un darbinieku pašapkalpošanās portāla HoP, un risinājumu budžeta plānošanā un finanšu vadībā, paredzot, ka 2026.gadā ir nodrošināta vienotu un standartizētu pakalpojumu izmantošana centralizētā platformā ministriju un to padotības iestādēm, kopā provizoriski 90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normatīvajiem aktiem projekta īstenošanas ietvaros, kā sadarbības partneri ir Veselības ministrija, Zemkopības ministrija, Viedās administrācijas un reģionālās attīstības ministrija, Klimata un enerģētikas ministrija, Ekonomikas ministrija, Tieslietu ministrija, Izglītības un zinātnes ministrija, Kultūras ministrija ar kurām noslēgti sadarbības līgumi, kā arī partnere ir Finanšu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Nr.435 tiek precizēts Projekta finansējuma apjoms, atbilstoši Projektā identificētajam ietaupījumam, kā arī iekļauta atsauce par iespēju pamatotos gadījumos neievērot MK noteikumi Nr.435 33.2. apakšpunktā maksimālo procentuālo apjomu projekta īstenošanas un vadības personāla atlīdzībai.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ir izveidojies būtisks ietaupījums uz izstrādes, pielāgošanas un ieviešanas darbiem, galvenokārt pateicoties veiksmīgiem iepirkumiem, kas tika organizēti un īstenoti 2024. gadā, lai nodrošinātu vienota finanšu grāmatvedības un personāla lietvedības informācijas tehnoloģiju risinājumu ieviešanu un budžeta plānošanas un finanšu vadības risinājuma izstrādi. Iepirkumu rezultātā, noslēgto līgumu summas ir zemākas, nekā tās bija plānotas, kas attiecīgi Projekta ietvaros veido projekta līdzekļu ietaupījumu. Kopējais identificētais ietaupījums no Atveseļošanas fonda finansējuma ir 2 540 000 EUR. Piemēram, līgums “Budžeta plānošanas un finanšu vadības risinājuma izstrāde un uzturēšana” tika noslēgts par summu 866 237,50 EUR bez PVN, kas ir būtiski zemāka par sākotnēji plānoto summu 4 237 200 EUR. Turklāt lielākā daļa iepirkumu līgumi noslēgti un īstenoti par faktiski paveiktajiem darbiem, piemērojot cilvēkstundas likmi – datu migrācija, HORIZON ieviešanas un konfigurācijas darbi, tādejādi, pēc Veselības ministrijas, Zemkopības ministrijas, Viedās administrācijas un reģionālās attīstības ministrijas, Klimata un enerģētikas ministrijas, Ekonomikas ministrijas un to padotības iestāžu pievienošanās centralizētai platformai tika precizēta prognoze finansējuma apguve nākošajiem resoriem.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tika identificēts, ka atsevišķās aktivitātēs nebūs plānotais finansējums nepieciešams pilnā apmērā, balstoties uz faktiski paveiktajiem darbiem, tādēļ tika pārskatītas projekta darbības ar mērķi nodrošināt efektīvu un pilnvērtīgu piešķirtā finansējuma izmantošanu, un ir secināts, ka iespējams paplašināt projekta tvērumu, iekļaujot papildu sadarbības partnerus. Minēto darbību īstenošana ir iespējama projekta ietvaros par ietaupītajiem līdzekļiem, tādējādi neradot nepieciešamību pieprasīt papildu finansējumu no valsts budžeta (prioritāro pasākumu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kopējās izmaksas tiek samazinātas, balstoties uz identificēto ietaupījumu, rodas neatbilstība Ministru kabineta noteikumu Nr. 435 33.2 apakšpunktā noteiktajam maksimālajam procentuālajam apjomam projekta vadības un īstenošanas personāla atlīdzībai. Tajā pašā laikā iesaistītā projekta personāla darba apjoms nav samazinājies, jo projekta īstenošana notiek pilnā plānotajā tvērumā. Turklāt, saskaņā ar Ministru kabineta 2024. gada 10. decembra rīkojumu Nr. 1055 "Grozījumi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projekta sadarbības partneru loks ir būtiski paplašināts. Tas savukārt ir radījis papildu koordinācijas, ieviešanas un atbalsta slodzi uz projekta vadības un īstenošanas komandu. Līdz ar to nav ne pamatojuma, ne praktiskas iespējamības samazināt projekta personāla atlīdzību tikai tehniskas procentuālās robežas dēļ, kas izriet no kopējo izmaksu samazinājuma. Ietaupījums, kas radies efektīvas iepirkumu plānošanas un pārvaldības rezultātā, būtu uzskatāms par pozitīvu piemēru resursu izmantošanas efektivitātei, nevis par pamatu ierobežojumiem attiecībā uz atlīdzību. Atlīdzības apjoma samazināšana šādā situācijā būtu nesamērīga un varētu apdraudēt projekta pilnvērtīgu īstenošanu gan apjomā, gan kvalitātē, īpaši ņemot vērā, ka projekta rezultātu sasniegšanai ir nepieciešams nodrošināt nemainīgu profesionālo kapacitāti un nepārtrauktību. Vienlaikus, lai nodrošinātu elastību resursu pārvaldībā un motivētu iesaistīto personālu, būtu jāparedz iespēja paplašināt slodzes esošā finansējuma ietvaros, nepārsniedzot līdzšinējo plānoto apjomu projekta vadības un īstenošanas personāla izmaksām, bet ļaujot efektīvāk izmantot pieejamos cilvēkresursus atbilstoši projekta faktiskajām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ir pārskatītas esošās un identificētas jaunas darbības un izmaksu veidi, kuru nepieciešamība izriet no mērķa pilnvērtīgāk investēt pieejamo finansējumu, sekmējot projekta rezultātu sasniegšanu un atbilstību Ministru kabineta noteikumu Nr. 435 32. punktā noteiktajām prasībām. Lai nodrošinātu pārskatāmu, kvalitatīvu un normatīvajiem aktiem atbilstošu projekta īstenošanu, ņemot vērā tā ievērojamo apjomu, aktivitāšu daudzveidību, iesaistīto pušu sarežģīto struktūru, kā arī būtisko dokumentācijas un pārskatu apjomu, ir būtiski paredzēt iespēju veikt projekta rezultātu auditu vai revīziju. Šāda pieeja ļauj stiprināt projekta uzraudzību un atbilst arī Ministru kabineta noteikumu Nr. 435 13.20. apakšpunkta prasībām, paredzot iespēju piesaistīt neatkarīgu revidentu.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pie risinājumiem norādīto koplietošanas pakalpojumu lietotājus (institūcijas), ņemot vērā, ka projekta īstenošanas laikā tiek pieņemti dažādi lēmumi par iestāžu (lietotāju) reorganizāciju, likvidēšanu, jaunu izveidi un apvienošanu. Izmaiņas ietekmē arī citi faktori un ierobežojumi, kas jāņem vērā nodrošinot centralizētos pakalpojumus un risinājumus, piemēram, Tiesu administrācija grāmatvedības uzskaites pakalpojumu šobrīd nodrošina Tieslietu akadēmijai, rajona un apgabaltiesām. Lai gan katrai tiesai ir atsevišķs reģistrācijas numurs, tās nav uzskatāmas par patstāvīgiem nodokļu maksātājiem. Saskaņā ar spēkā esošo normatīvo regulējumu finanšu pārskatus sagatavo katrs nodokļu maksātājs, attiecīgi rajona un apgabaltiesas negatavo atsevišķus pārskatus, bet Tiesu administrācija gatavo kopīgus pārskatus par Tiesu administrāciju un tiesām.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pabeigtu Budžeta plānošanas un finanšu vadības risinājumu funkcionalitāšu izstrādi ir nepieciešams pagarināt risinājuma ieviešanas termiņu. Projekta ieviešanas gaitā, precizējot un paplašinot risinājuma apjomu, ir identificēta nepieciešamība izstrādāt papildu funkcionalitāti. Šo funkcionalitāšu izstrādei un testēšanai nepieciešams ilgāks laiks, nekā sākotnēji plānots, tādēļ noteikts, ka atsevišķu projekta aktivitāšu izpilde noslēgsies 2026. gada II ceturksnī. Atbilstoši tam nepieciešams pagarināt projekta pases sadaļās Nr. 5.1. “Modernizēto pārvaldes procesu  IKT risinājumi” “5.1.2. Budžeta plānošanas un finanšu vadības risinājums” norādīto ieviešanas termiņu, lai sasniegtu izvirzītos investīcijas mērķu rādītājus. Precizējot termiņus, tiek ņemts vērā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13.15. apakšpunktā noteiktais.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ir identificēta nepieciešamība aktualizēt ar Ministru kabineta 2023. gada 28. jūnija rīkojumu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apstiprināto projekta dokumentāciju.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kase kā finansējuma saņēmējs ir sagatavojis situācijai atbilstošu projekta dokumentāciju: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projektā precizētas kopējās projekta izmaksas ne vairāk kā 12 665 681 euro apmērā, tai skaitā Eiropas Savienības Atveseļošanas un noturības mehānisma finansējums investīcijai 10 900 000 euro apmērā un  valsts budžeta finansējums pievienotās vērtības nodokļa izmaksu segšanai ne vairāk kā 1 765 681 euro apmērā, atbilstoši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(25-TA-1079).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pasē tiek norādīti jaunie sadarbības partneri – Valsts administrācijas skola, Valsts kanceleja, Nacionālā elektronisko plašsaziņas līdzekļu padome, Sabiedrisko elektronisko plašsaziņas līdzekļu padome, kā arī precizēti koplietošanas pakalpojuma lietotāji (institūcijas). Precizēts pakalpojumu saņēmēju loks centralizētās funkcijas vai koplietošanas pakalpojumu attīstības plānā par pakalpojumu “Grāmatvedības uzskaites pakalpojums” (2. pielikums) un plānā par pakalpojumu “Centralizēta grāmatvedības un personāla lietvedības, budžeta plānošanas un finanšu vadības platforma” (3. 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Piemērots MK noteikumi Nr.435 33.</w:t>
      </w:r>
      <w:r w:rsidR="00000000" w:rsidRPr="00000000" w:rsidDel="00000000">
        <w:rPr>
          <w:vertAlign w:val="superscript"/>
          <w:rtl w:val="0"/>
        </w:rPr>
        <w:t xml:space="preserve">1</w:t>
      </w:r>
      <w:r w:rsidR="00000000" w:rsidRPr="00000000" w:rsidDel="00000000">
        <w:rPr>
          <w:rtl w:val="0"/>
        </w:rPr>
        <w:t xml:space="preserve"> punkts, saglabājot līdzšinējo projekta vadības un īstenošanas personāla atlīdzības apjomu - 2 492 000 EUR, paredzot iespēju paplašināt maksimālo slodzes apjomu no 17 uz 20 slodzēm atbilstoši veiktajiem precizējumiem projekta pases sadaļā Nr. 6. "Projekta pārvaldības un īstenošanas kapacitāte", ja tas nepieciešams projekta mērķu sasniegšanai. Šī pieeja tiek pamatota ar projekta ietaupījumu un būtisko nepieciešamību nodrošināt projekta kvalitāti un pilnvērtīgu īstenošanu paredzētajā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Grozīta projekta pases sadaļas Nr. 5.1. “Modernizēto pārvaldes procesu  IKT risinājumi” “5.1.2. Budžeta plānošanas un finanšu vadības risinājums” ieviešanas termiņš, nosakot 2026.gada II.cet., bet ne vēlāk par 2026.gada 9.maiju.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tiek grozīta projekta pases sadaļa Nr. 4. “Nepieciešamā finansējuma apjoms un tā sadalījums pa projekta darbībām iznākumu sasniegšanai un būtisko izmaksu veidiem”, precizējot izmaksu indikatīvos un maksimālos apmērus, atbilstoši Projekta finansējuma kopējā apjoma izmaiņām, kā arī papildinot Projekta ietvaros veicamās darbības un būtisko izmaksu veidu raksturojošos apzīmējumus.  Veiktās izmaiņas sekmēs atbilstību Ministru kabineta noteikumiem Nr. 435 un efektīvu resursu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pases sadaļā Nr. 6. "Projekta pārvaldības un īstenošanas kapacitāte" aktualizēti Finanšu mnistrijas iekšējie noteikumi uzraudzības funkcijas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13.9.3.apakšpunktu “komercdarbības atbalsta nepieļaušanu projekta ietvaros”- projekta ietvaros komercdarbības atbalsts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25.jūnija noteikumiem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nepieciešams piemērot neatbilstības izņēmumu, neievērot 33.2.apakšpunktā maksimālo procentuālo apjomu projekta īstenošanas un vadības personāla atlīdzībai, saglabājot līdzšinējo projekta vadības un īstenošanas personāla izmaksu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2 492 000 EUR </w:t>
      </w:r>
      <w:r w:rsidR="00000000" w:rsidRPr="00000000" w:rsidDel="00000000">
        <w:rPr>
          <w:u w:val="single"/>
          <w:rtl w:val="0"/>
        </w:rPr>
        <w:t xml:space="preserve">projekta vadības un īstenošanas personāla atlīdzības izmaksas</w:t>
      </w:r>
      <w:r w:rsidR="00000000" w:rsidRPr="00000000" w:rsidDel="00000000">
        <w:rPr>
          <w:rtl w:val="0"/>
        </w:rPr>
        <w:t xml:space="preserve"> (sākotnējais Projektā definētais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sadaļā Nr. 4 “Nepieciešamā finansējuma apjoms un tā sadalījums pa projekta darbībām iznākumu sasniegšanai un būtisko izmaksu veidiem”, 4.4. apakšpunktā “Projekta vadības un īstenošanas izmaksas” ir iekļautas projekta vadības un īstenošanas personāla atlīdzības izmaksas, citas ar projekta vadību saistītas izmaksas 15 596 EUR apmērā, kā arī projekta ieviešanas komandas darba vietu nodrošinājuma izmaksas 30 975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neietekmēs projekta mērķu un izvirzīto rezultatīvo rādītāju sasniegšanu, kā arī Atveseļošanas un noturības mehānisma plānā un Padomes īstenošanas lēmumā par Latvijas atveseļošanas un noturības plāna novērtējuma apstiprināšanu noteikto rādītāju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6 125 911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6 125 911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7 226 130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-3 073 399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2 161 665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7 226 130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-3 073 399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2 161 665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-1 100 219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533 399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samazināt kopējo projekta finansējumu par 3 073 399 euro, tai skaitā Eiropas Savienības Atveseļošanas un noturības mehānisma finansējumu investīcijai par 2 540 000 euro apmērā un valsts budžeta finansējumu pievienotās vērtības nodokļa izmaksu segšanai par 533 399 euro apmērā, ņemot vērā, ka iepirkumu rezultātā, noslēgto līgumu summas ir zemākas, nekā tās bija plānotas, kas attiecīgi Projekta ietvaros veido projekta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2025. gadam un budžeta ietvaru 2025., 2026. un 2027. gadam” Finanšu ministrijas valsts budžeta apakšprogrammā 74.06.00 “Atveseļošanas un noturības mehānisma (ANM) projekti un pasākumi” projekta īstenošanai plānots finansējums 2025.gadam 7 226 130 euro apmērā, 2026.gadam 2 161 665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identificētais Atveseļošanas un noturības mehānisma finansējuma ietaupījums 2 540 000 euro apmērā tiks novirzīts citu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MK rīkojuma projekts būtiski nemaina esošo regulējumu, kā arī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Valsts kase nodrošina koplietošanas pakalpojumus un uztur centralizēto platformu.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Darbību dublēšanās novēršana, ievadot un pārbaudot datus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ievades kļūdu risku samazināšana, kas rada plašu uzticamas informācijas bāzi.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Vienota, centralizēta valsts pārvaldes platforma grāmatvedības un personāla lietvedības, budžeta plānošanas un finanšu vadības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pieejamība, pateicoties vienotām IS, kas nodrošina iespēju pieņemt pamatotus un efektīvus vadības lēmumus.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29.punktam ar projektā iesaistītajiem parteriem tiek slēgts sadarbības līgumus, lai nodrošinātu sadarbības partneru sistēmu integrāciju pārnesi uz centralizētās platformas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Projekta izpildē iesaistās norādītās ministrijas, to padotības iestādes un  citas tiešās pārvaldes iestādes, atbilstoši projekta pasē norādītajai informācijai. Daļai no iestādēm Valsts kase jau sniedz grāmatvedības uzskaites pakalpojumu pamatojoties uz noslēgto starpresoru vienošanos, sadarbības līgumu vai iekšējiem noteikumiem. Lai nodrošinātu turpmāku pakalpojumu sniegšanu atbilstoši Ministru kabineta noteikumos noteiktajam, tad attiecībā uz iestādēm, kam jau tiek nodrošināts minētais pakalpojums tas jāpārnes un jānodrošina jaunajā centralizētā valsts pārvaldes platformā grāmatvedības un personāla lietvedības, budžeta plānošanas un finanšu vadības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 uz esošajiem sadarbības partneriem un ar tiem noslēgtajiem sadarbības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tiks nodrošināta vienotu un standartizētu pakalpojumu sniegšana, tādejādi, veicinot standartizāciju, efektivizāciju, digitālo transformāciju un datu tālākizmantošanas iespējas plašākā iestāžu lokā.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centralizēta valsts pārvaldes platforma, centralizējot grāmatvedības un personāla lietvedības risinājumus un ieviešot budžeta plānošanas un finanšu vadības risinājumu plašākā iestāžu lokā.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risinājumus un izveidojot centralizēto platformu, sekmēs  Latvijas Nacionālā attīstības plāna 2021.-2027. gadam rīcības virziena “Tehnoloģiskā vide un pakalpojumi” uzdevuma “Mūsdienu tehnoloģiju un racionālas, resursu efektīvas, lietotājorientētas un atvērtas pārvaldības ieviešana, lai kvalitatīvi nodrošinātu publiskos pakalpojumus, ievērojot “primāri digitāls”, proaktīvas pakalpojumu sniegšanas un vienreizes principu, t. sk. pārrobežu, kā arī veiktu valsts pārvaldes un pašvaldību IKT infrastruktūras un atbalsta procesu optimizāciju un centralizāciju”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25-TA-1232</w:t>
    </w:r>
    <w:r>
      <w:br/>
    </w:r>
    <w:r w:rsidR="00000000" w:rsidRPr="00000000" w:rsidDel="00000000">
      <w:rPr>
        <w:rtl w:val="0"/>
      </w:rPr>
      <w:t xml:space="preserve">Izdrukāts 29.07.2026. 23.13 - 2.0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25-TA-1232</w:t>
    </w:r>
    <w:r>
      <w:br/>
    </w:r>
    <w:r w:rsidR="00000000" w:rsidRPr="00000000" w:rsidDel="00000000">
      <w:rPr>
        <w:rtl w:val="0"/>
      </w:rPr>
      <w:t xml:space="preserve">Izdrukāts 29.07.2026. 23.13 - 2.0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anotācija_(ex_ante)_25-TA-1232.docx</dc:title>
</cp:coreProperties>
</file>

<file path=docProps/custom.xml><?xml version="1.0" encoding="utf-8"?>
<Properties xmlns="http://schemas.openxmlformats.org/officeDocument/2006/custom-properties" xmlns:vt="http://schemas.openxmlformats.org/officeDocument/2006/docPropsVTypes"/>
</file>