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trešās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“Ministru kabineta noteikumi par Eiropas Savienības kohēzijas politikas programmas 2021. – 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trešās kārtas īstenošanas noteikumi” (turpmāk – TA projekts) ir Labklājības ministrijas (turpmāk – LM) iniciatīva un izstrādāts saskaņā ar Eiropas Savienības fondu 2021.—2027.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noteikt normatīvo regulējumu Eiropas Savienības kohēzijas politikas programmas 2021.–2027. gadam 4.3.5.1. pasākuma “Sabiedrībā balstītu sociālo pakalpojumu pieejamības palielināšana” trešajai kārtai (turpmāk – 4.3.5.1. pasākuma 3. kārta).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Sociālajiem pakalpojumiem ir būtiska nozīme cilvēka, kuram ir grūtības aprūpēt sevi, vai pārvarēt kādas dzīves situācijas, dzīvē, īpaši, ja nav pietiekoša piederīgo atbalsta. Pēdējos divos Eiropas Savienības (turpmāk – ES) fondu plānošanas periodos sabiedrībā balstītu sociālo pakalpojumu attīstībai ir bijis pieejams Eiropas Sociālā fonda (turpmāk – ESF) un Eiropas Reģionālās attīstības fonda (turpmāk – ERAF) līdzfinansējums, veicinot to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2007.–2013. gada plānošanas perioda darbības programmas “Cilvēkresursi un nodarbinātība” ietvaros tika uzsākta atbalsta sniegšana sociālo pakalpojumu attīstības programmu izstrādei un ieviešanai plānošanas reģionos, izvirzot mērķi mazināt atšķirības sociālo pakalpojumu pieejamībā un sekmēt pakalpojumu plānošanu pašvaldībās. Tomēr ESF sniegtais atbalsts tikai daļēji atrisināja esošās sociālo pakalpojumu pārklājuma un pieejamības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2014.–2020. gada ES fondu plānošanas perioda Darbības programmas “Izaugsme un nodarbinātība” 9.2.2.1.pasākums “Deinstitucionalizācija” un 9.3.1.1. pasākums “Pakalpojumu infrastruktūras attīstība deinstitucionalizācijas plānu īstenošanai” bija būtisks resurss, kas deva iespēju attīstīt sabiedrībā balstītus sociālos pakalpojumus (turpmāk – SBSP) lielākā apjomā nekā tas bija iespējams iepriekš. Uzsākot deinstitucionalizācijas (turpmāk – DI) procesu 2014.–2020. gada plānošanas periodā, SBSP īpatsvars cilvēkiem ar garīga rakstura traucējumiem bija ļoti zems – tikai 20% no sociālo pakalpojumu saņēmējiem saņēma SBSP. 2023. gada beigās, kad projektu īstenošana noslēdzās, šis īpatsvars bija palielinājies līdz 41%.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veiktajā izvērtējumā “Sabiedrībā balstītu sociālo pakalpojumu satura, pieejamības un ietekmes uz sociālo atstumtību izvērtējumā pirmspensijas un pensijas vecuma personām un personām ar garīga rakstura traucējumiem”[1] (turpmāk – Izvērtējums) ir secināts, ka SBSP pārsvarā ir plānots attīstīt personām ar garīgās attīstības traucējumiem, taču sociālo dienestu pārstāvji visbiežāk ir norādījuši, ka SBSP nav plānots sniegt personām ar multipliem traucējumiem, ļoti smagām psihiskām saslimšanām un personām ar autiska spektra traucējumiem. Atsevišķi specializēti pakalpojumi personām ar ļoti smagiem garīga rakstura un multipliem traucējumiem, tai skaitā personām ar demenci ir pieejami Rīgas valstpilsētā. Rīgas valstspilsētā arī ir izveidots jauns dienas aprūpes centrs un grupu māja (dzīvoklis) personām ar ļoti smagiem garīga rakstura traucējumiem 9.3.1.3. pasākuma “Sabiedrībā balstītu sociālo pakalpojumu infrastruktūras attīstība Rīgas valstspilsētā” (turpmāk – 9.3.1.3. pasākums) ietvaros. Tas ir būtisks ieguldījums pakalpojumu pielāgošanā šīs mērķa grupas daļas vajadzībām, vienlaikus tas nenodrošinās visas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iepriekšminētā var secināt, ka 2014.–2020. gada plānošanas perioda ieguldījumi ir paplašinājuši atbalsta saņemšanas iespējas cilvēkiem ar smagiem garīga rakstura traucējumiem, bet SBSP personām ar ļoti smagiem garīga rakstura un multipliem traucējumiem arvien ir ierobežoti.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specifisku, tieši personām ar ļoti smagiem garīga rakstura un multipliem traucējumiem pielāgotu SBSP attīstības, šīs personu grupas iespējas iekļauties sabiedrībā un viņu ģimenes locekļu iespējas iesaistīties nodarbinātībā turpinās būt ļoti ierobežotas. Tāpēc 2021.–2027. gada plānošanas periodā tiek īstenots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pasākums “Sabiedrībā balstītu sociālo pakalpojumu infrastruktūras izveide un attīstība”[2] (turpmāk – 4.3.1.5. pasākums), kura ietvaros divās pašvaldībās ar lielāko personu ar ļoti smagiem garīga rakstura un multipliem traucējumiem īpatsvaru (Rīgas valstspilsētā un Liepājas valstspilsētā) tiek veidota jauna SBSP infrastruktūra (grupu māja (dzīvoklis) Rīgā un dienas aprūpes centrs Rīgā un Liepājā) ar specifiski pielāgotiem risinājumiem pakalpojumu sniegšanā tieši šai mērķa grupai. Pēc minētās infrastruktūras izveides būs nepieciešams finansējums jauno pakalpojumu sniegšanas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Iepriekšminētie ieguldījumi ir atbilstoši Sociālās aizsardzības un darba tirgus politikas pamatnostādnēs 2021.–2027. gadam noteiktajam uzdevumam – palielināt sabiedrībā balstītu sociālo pakalpojumu pieejamību, efektivitāti un atbilstību mērķa grupas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Pārresoru koordinācijas centra Pētījumu un publikāciju datu bāzē, skat. http://195.244.155.179/node/3142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Īstenošanas nosacījumi noteikti Ministru kabineta 2024. gada 13. februāra noteikumos Nr. 100 “Eiropas Savienības kohēzijas politikas programmas 2021.–2027.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4.3.1.5. pasākuma "Sabiedrībā balstītu sociālo pakalpojumu infrastruktūras izveide un attīstība" īstenošanas noteikumi”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paplašinātu SBSP pieejamību personām ar ļoti smagiem garīga rakstura un multipliem traucējumiem 4.3.1.5. pasākumā līdz 2027. gada beigām Rīgas valstspilsētā un Liepājas valstspilsētā tiks izveidota jauna SBSP infrastruktūra (grupu māja (dzīvoklis) Rīgā un dienas aprūpes centrs Rīgā un Liepājā) ar specifiski pielāgotiem risinājumiem pakalpojumu sniegšanā tieši šai mērķa grupai. Lai uzsāktu pakalpojumu sniegšanu jaunizveidotajā infrastruktūrā, pašvaldībām būs nepieciešami ievērojami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2014.–2020. gada ES fondu plānošanas periodā SBSP attīstīšanai bija paredzēts pilns jaunizveidoto SBSP aprobācijas cikls, t.i., infrastruktūras izveide (tika nodrošināta 9.3.1.1. pasākuma “Pakalpojumu infrastruktūras attīstība deinstitucionalizācijas plānu īstenošanai” (turpmāk – 9.3.1.1. pasākums) un 9.3.1.3. pasākuma) ietvaros un jaunizveidoto pakalpojumu finansēšana pirmos divus gadus pēc to izveides (tika nodrošināts plānošanas reģionu 9.2.2.1. pasākuma “Deinstitucionalizācija” (turpmāk – 9.2.2.1. pasākums) projektu ietvaros). Šāds atbalsts pašvaldībām bija svarīgs, lai uzsāktu jaunu pakalpojumu sniegšanu. Tāpēc arī 2021.–2027. gada plānošanas periodā būtu turpināma 2014.–2020. gada plānošanas periodā iedibinātā prakse nodrošināt pilnu jaunizveidoto SBSP aprobācijas ciklu, vienlaikus nodrošinot vienotu pieeju ar 4.3.5.1. pasākuma 1. un 5. kārtu (projektos pēc SBSP infrastruktūras izveides ir pieejams finansējums arī to sniegšanai mērķa grupas personām līdz 24 mēnešiem).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SBSP pieejamības paplašināšanos personām ar ļoti smagiem garīga rakstura un multipliem traucējumiem, paredzot iespēju pilnai attīstāmo SBSP aprobācijai un nodrošinot vienotu pieeju līdzīgu pasākumu īstenošanā, TA projekts nosaka kārtību, kādā īsteno 4.3.5.1. pasākuma 3. kārtu, tā mērķi, atbalstāmās darbības un sasniedzamos uzraudzības rādītājus, izmaksu attiecināmības nosacījumus, vienkāršoto izmaksu piemērošanas nosacījumus, specifiskus 4.3.5.1. pasākuma 3. kārtas īstenošanas nosacījumus, kā arī pieejamo finansējuma apmēru.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 tiek īstenota tiešā sinerģijā ar 4.3.1.5. pasākumu un 4.3.5.1  pasākuma 3. kārtas projektu ietvaros SBSP sniegšanu mērķa grupas personām tiks nodrošināta 4.3.1.5. pasākuma ietvaros izveidotajā SBSP infrastruktūrā, kura ir jāreģistrē sociālo pakalpojumu sniedzēju reģistrā trīs mēnešu laikā no pakalpojumu sniegšanas uzsākšanas.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3.kārtas </w:t>
      </w:r>
      <w:r w:rsidR="00000000" w:rsidRPr="00000000" w:rsidDel="00000000">
        <w:rPr>
          <w:b w:val="1"/>
          <w:rtl w:val="0"/>
        </w:rPr>
        <w:t xml:space="preserve">mērķa grupa</w:t>
      </w:r>
      <w:r w:rsidR="00000000" w:rsidRPr="00000000" w:rsidDel="00000000">
        <w:rPr>
          <w:rtl w:val="0"/>
        </w:rPr>
        <w:t xml:space="preserve">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pilngadīgas personas ar ļoti smagiem garīga rakstura un multipliem traucējumiem, kuriem ir noteikta I invaliditātes grupa vai trešais vai ceturtais aprūpes līmenis. Šī mērķa grupa ietver personas, kurām ir ļoti smaga psihiska saslimšana vai garīgās attīstības traucējums[1], kas ierobežo personas spējas strādāt un aprūpēt sevi, kā arī apgrūtina tās iekļaušanos sabiedrībā, un kurām ir noteikta I invaliditātes grupa (ļoti smaga invaliditāte) vai personas ar kombinētiem un smagiem vai ļoti smagiem garīga un fiziska rakstura traucējumiem (personas ar multipliem traucējumiem), kurām ir noteikts trešais vai ceturtais aprūpes līmenis saskaņā ar Ministru kabineta 2019.gada 2.aprīļa noteikumiem Nr.138 “Noteikumi par sociālo pakalpojumu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bērni vecumā no 16 līdz 17 gadiem (ieskaitot), kuriem ir noteikta invaliditāte un izsniegts Veselības un darbspēju ekspertīzes ārstu valsts komisijas atzinums par īpašas kopšanas nepieciešamību sakarā ar smagiem funkcionāliem traucējumiem vai ar ārstu konsīlija lēmumu noteikta paliatīvās aprūpes nepieciešamība. Tas nozīmē, ka papildus tam, ka bērnam ir noteikta invaliditāte, viņam ir jābūt noteiktai arī īpašas kopšanas nepieciešamībai vai paliatīvās aprūpes nepieciešamībai. Šī mērķa grupa paredzēta, jo pāreja no bērna uz pieaugušo vecumu un ar pilngadības sasniegšanu saistītās izmaiņas atbalsta saņemšanā nereti rada papildu izaicinājumus gan bērniem ar smagiem funkcionāliem traucējumiem, gan viņu ģimenēm. Tos var mazināt, dodot iespēju jauniešiem jau pirms pilngadības sasniegšanas pakāpeniski sākt saņemt pakalpojumus kopā ar pieaugušajiem. Pakāpeniska atbalsta saņemšanas uzsākšana pakalpojumos, kas mērķa grupas personām būs nepieciešami pēc pilngadības sasniegšanas, mazinās stresu, vairotu drošības sajūtu un novērstu iespējamu atbalsta pārtraukumu pilngadību nesasniegušiem jauniešiem ar ļoti smagiem garīga rakstura un multipliem traucējumiem pēc pamatizglītības ieguves pabeigšanas. Ņemot vērā, ka dienas aprūpes centrs ir pakalpojums bez izmitināšanas un persona 16 gadu vecumā jau ir persona darbspējas vecumā un tai nodrošināmie dienas aprūpes centra pakalpojumi ir piemērotāki kopā ar pilngadīgām personām, nevis maziem bērniem, īpaši pielāgojumi pakalpojuma nodalīšanai starp bērniem 16 līdz 17 gadu vecumā un pilngadīgam personām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pasākumu 3. kārtu paredzēts īstenot ierobežotā </w:t>
      </w:r>
      <w:r w:rsidR="00000000" w:rsidRPr="00000000" w:rsidDel="00000000">
        <w:rPr>
          <w:b w:val="1"/>
          <w:rtl w:val="0"/>
        </w:rPr>
        <w:t xml:space="preserve">projektu iesniegumu atlasē</w:t>
      </w:r>
      <w:r w:rsidR="00000000" w:rsidRPr="00000000" w:rsidDel="00000000">
        <w:rPr>
          <w:rtl w:val="0"/>
        </w:rPr>
        <w:t xml:space="preserve">, kā </w:t>
      </w:r>
      <w:r w:rsidR="00000000" w:rsidRPr="00000000" w:rsidDel="00000000">
        <w:rPr>
          <w:b w:val="1"/>
          <w:rtl w:val="0"/>
        </w:rPr>
        <w:t xml:space="preserve">projekta iesniedzējus</w:t>
      </w:r>
      <w:r w:rsidR="00000000" w:rsidRPr="00000000" w:rsidDel="00000000">
        <w:rPr>
          <w:rtl w:val="0"/>
        </w:rPr>
        <w:t xml:space="preserve"> (pēc projekta iesnieguma apstiprināšanas kļūst par finansējuma saņēmējiem) nosakot finansējuma saņēmējus, kas īsteno projektus 4.3.1.5. pasākuma ietvaros vai arī pēc SBSP infrastruktūras izveides piesaistīti kā pakalpojumu sniedzēji uz deleģējuma vai iepirkuma līguma pamata. Attiecīgi TA projekts par 4.3.5.1. pasākuma 3. kārtas projekta iesniedzējiem paredz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Liepājas valstspilsētu, tās izveidotu sociālo pakalpojumu sniedzēju vai sociālo pakalpojumu sniedzēju, kuru Liepājas valstspilsēta ir piesaistījusi pakalpojuma sniegšanai uz deleģējuma vai iepirkumu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Rīgas valstspilsētu, tās izveidotu sociālo pakalpojumu sniedzēju vai sociālo pakalpojumu sniedzēju, kuru Rīgas valstspilsēta ir piesaistījusi pakalpojuma sniegšanai uz deleģējuma vai iepirkumu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iesniedzēji pēc projekta iesnieguma apstiprināšanas būs Eiropas Sociālā fonda Plus (turpmāk – ESF Plus) finansējuma saņēmēji (turpmāk abi kopā –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4.3.5.1. pasākuma 3. kārta tiek īstenota ierobežotā projektu iesniegumu atlasē un to, ka projekta iesniedzējs var būt arī pašvaldības uz deleģējuma vai iepirkumu līguma piesaistīts sociālo pakalpojumu sniedzējs, atbildīgā iestāde informēs sadarbības iestādi par projekta iesniedzējiem, kuriem nosūtāms uzaicinājums iesniegt projekta iesniegumu 4.3.5.1. pasākuma 3. kārtas atlasē. Informāciju par uzaicināmiem projekta iesniedzējiem atbildīgā iestāde iegūs no Rīgas un Liepājas valstpilsētām.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projektu iesniegumu atlases ietvaros projekta iesniedzējs varēs iesniegt </w:t>
      </w:r>
      <w:r w:rsidR="00000000" w:rsidRPr="00000000" w:rsidDel="00000000">
        <w:rPr>
          <w:b w:val="1"/>
          <w:rtl w:val="0"/>
        </w:rPr>
        <w:t xml:space="preserve">vienu projekta iesniegumu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kārtai plānotais un pieejamais </w:t>
      </w:r>
      <w:r w:rsidR="00000000" w:rsidRPr="00000000" w:rsidDel="00000000">
        <w:rPr>
          <w:b w:val="1"/>
          <w:rtl w:val="0"/>
        </w:rPr>
        <w:t xml:space="preserve">kopējais attiecināmais finansējums </w:t>
      </w:r>
      <w:r w:rsidR="00000000" w:rsidRPr="00000000" w:rsidDel="00000000">
        <w:rPr>
          <w:rtl w:val="0"/>
        </w:rPr>
        <w:t xml:space="preserve">ir 2 597 764 </w:t>
      </w:r>
      <w:r w:rsidR="00000000" w:rsidRPr="00000000" w:rsidDel="00000000">
        <w:rPr>
          <w:i w:val="1"/>
          <w:rtl w:val="0"/>
        </w:rPr>
        <w:t xml:space="preserve">euro</w:t>
      </w:r>
      <w:r w:rsidR="00000000" w:rsidRPr="00000000" w:rsidDel="00000000">
        <w:rPr>
          <w:rtl w:val="0"/>
        </w:rPr>
        <w:t xml:space="preserve">, tai skaitā ESF Plus finansējums – 2 208 099 </w:t>
      </w:r>
      <w:r w:rsidR="00000000" w:rsidRPr="00000000" w:rsidDel="00000000">
        <w:rPr>
          <w:i w:val="1"/>
          <w:rtl w:val="0"/>
        </w:rPr>
        <w:t xml:space="preserve">euro </w:t>
      </w:r>
      <w:r w:rsidR="00000000" w:rsidRPr="00000000" w:rsidDel="00000000">
        <w:rPr>
          <w:rtl w:val="0"/>
        </w:rPr>
        <w:t xml:space="preserve">un pašvaldības budžeta finansējums – 389 665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ietvaros Liepājas valstspilsetas projektam pieejamais maksimālais attiecināmo izmaksu apmērs ir 570 060 </w:t>
      </w:r>
      <w:r w:rsidR="00000000" w:rsidRPr="00000000" w:rsidDel="00000000">
        <w:rPr>
          <w:i w:val="1"/>
          <w:rtl w:val="0"/>
        </w:rPr>
        <w:t xml:space="preserve">euro</w:t>
      </w:r>
      <w:r w:rsidR="00000000" w:rsidRPr="00000000" w:rsidDel="00000000">
        <w:rPr>
          <w:rtl w:val="0"/>
        </w:rPr>
        <w:t xml:space="preserve"> un projektā iesaista vismaz 18 mērķa grupas personas, bet Rīgas valstspilsētas projektam – 2 027 704</w:t>
      </w:r>
      <w:r w:rsidR="00000000" w:rsidRPr="00000000" w:rsidDel="00000000">
        <w:rPr>
          <w:i w:val="1"/>
          <w:rtl w:val="0"/>
        </w:rPr>
        <w:t xml:space="preserve"> euro </w:t>
      </w:r>
      <w:r w:rsidR="00000000" w:rsidRPr="00000000" w:rsidDel="00000000">
        <w:rPr>
          <w:rtl w:val="0"/>
        </w:rPr>
        <w:t xml:space="preserve">un projektā iesaista vismaz 36 mērķa grupas personas.  Projektos var iesaistīt arī lielāku mērķa grupas personu skaitu, ja nepieciešama mērķa grupas personu nomaiņa un netiek pārsniegta projektā apstiprinātā attiecināmo izmaksu kopsumma.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ietvaros izmaksas būs attiecināmas, ja tās atbildīs MK noteikumos par 4.3.5.1. pasākuma 3. kārtas īstenošanu minētām izmaksu pozīcijām un būs radušās ar dienu, kad noslēgta vienošanās vai līgums par projekta īstenošanu (starp sadarbības iestādi un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projektu īstenošana ir plānota ne ilgāk kā 30 mēnešus, uzreiz pēc infrastruktūras izveides pabeigšanas 4.3.1.5. pasākuma ietvaros, bet ne vēlāk kā no 2028. gada 1. janvāra un ne ilgāk kā līdz 2029. gada 31. decembrim. Projekta īstenošanas 30 mēnešu periodā finansējuma saņēmējam ir jānodrošina sabiedrībā balstītu sociālo pakalpojumu sniegšana mērķa grupas personām ne ilgāk kā 24 mēnešus. Pārējo laiku projektā (ne vairāk kā 6 mēnešus) var plānot sagatavošanās darbībām projekta uzsākšanai (piemēram, personāla piesaistei, mērķa grupas personu individuālo vajadzību izvērtēšanai) un projekta īstenošanas noslēgšanas darbībām (piemēram atskaišu un noslēguma maksājuma sagatavošanai). Izmaksas projektā atbilstoši TA projekta noteiktajām izmaksu pozīcijām plāno tikai laika periodam, kurā tiek nodrošināta pakalpojumu sniegšana mērķa grupas personām (līdz 24 mēnešiem). Ja projekta ietvaros pakalpojumu sniegšana mērķa grupas personām tiek plānota vai arī projekta īstenošanas laikā tiek sniegta mazāk kā 24 mēnešus, projekta kopējās attiecināmās izmaksas proporcionāli samazina.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ietvaros līdz 2029. gada 31. decembrim ir sasniedzams šāds </w:t>
      </w:r>
      <w:r w:rsidR="00000000" w:rsidRPr="00000000" w:rsidDel="00000000">
        <w:rPr>
          <w:b w:val="1"/>
          <w:rtl w:val="0"/>
        </w:rPr>
        <w:t xml:space="preserve">uzraudzības rādītājs</w:t>
      </w:r>
      <w:r w:rsidR="00000000" w:rsidRPr="00000000" w:rsidDel="00000000">
        <w:rPr>
          <w:rtl w:val="0"/>
        </w:rPr>
        <w:t xml:space="preserve">: programmas iznākuma rādītājs – sociālās atstumtības riskam pakļautas personas, kuras saņēmušas SBSP, – 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4.3.5.1.pasākuma 3. kārtas ietvaros uzraudzības rādītāju starpposma vērtības netiek noteiktas, ņemot vērā, ka līdz 2024. gada 31. decembrim vēl nebūs uzsākta pakalpojumu sniegšana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ietvaros paredzētas šādas </w:t>
      </w:r>
      <w:r w:rsidR="00000000" w:rsidRPr="00000000" w:rsidDel="00000000">
        <w:rPr>
          <w:b w:val="1"/>
          <w:rtl w:val="0"/>
        </w:rPr>
        <w:t xml:space="preserve">atbalstāmās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Individuālo vajadzību izvērtēšana un atbalsta plāna izstrāde.</w:t>
      </w:r>
      <w:r w:rsidR="00000000" w:rsidRPr="00000000" w:rsidDel="00000000">
        <w:rPr>
          <w:rtl w:val="0"/>
        </w:rPr>
        <w:t xml:space="preserve"> Pirms SBSP sniegšanas uzsākšanas finansējuma saņēmējam būs jāveic projektā iesaistāmo mērķa grupas personu individuālo vajadzību izvērtējumu un katrai personai jāizstrādā individuāls sociālās rehabilitācijas, sociālās aprūpes vai personas atbalsta plāns (turpmāk – atbalsta plāns).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projekta īstenotājs (finansējuma saņēmējs) būs pašvaldība vai tās izveidots sociālo pakalpojumu sniedzējs, tad mērķa grupas vajadzību izvērtējumu un atbalsta plāna izstrādi var veikt pašvaldības sociālais dienests vai pašvaldības izveidotais sociālo pakalpojumu sniedzējs. Ja projekta īstenotājs būs cits pašvaldības piesaistīts sociālo pakalpoju sniedzējs, tad mērķa grupas vajadzību izvērtējumu un atbalsta plāna izstrādi var veikt gan  pašvaldības piesaistītais sociālo pakalpojumu sniedzējs, gan  pašvaldības sociālais dienests vai pašvaldības izveidotais sociālo pakalpojumu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plānā jāietver: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risināmās problēmas definējumu;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ilgtermiņa un īstermiņa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uzdevumus, veicamos pasākumus, termiņu, sagaidāmo rezultātu un atbildīgo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vajadzību izvērtējums ir veicams atbilstoši vispārējam regulējumam sociālo pakalpojumu sniegšanas jomā – Sociālo pakalpojumu un sociālās palīdzības likuma 4. panta pirmajā daļā noteiktajam pamatprincipam, ka sociālos pakalpojumus sniedz, tikai pamatojoties uz sociālā darba speciālista veiktu personas individuālo vajadzību un resursu novērtējumu, un minētajam likumam pakārtotajiem MK noteikumiem – Ministru kabineta 2017. gada 13. jūnija noteikumiem Nr. 338 “Prasības sociālo pakalpojumu sniedzējiem” un Ministru kabineta 2019. gada 2. aprīļa noteikumi Nr. 138 “Noteikumi par sociālo pakalpojumu saņemšanu”.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b w:val="1"/>
          <w:rtl w:val="0"/>
        </w:rPr>
        <w:t xml:space="preserve">SBSP sniegšana.</w:t>
      </w:r>
      <w:r w:rsidR="00000000" w:rsidRPr="00000000" w:rsidDel="00000000">
        <w:rPr>
          <w:rtl w:val="0"/>
        </w:rPr>
        <w:t xml:space="preserve"> Pēc mērķa grupas personu individuālo vajadzību izvērtēšanas un atbalstu plānu izstrādes finansējuma saņēmējs ne ilgāk kā 24 mēnešus nodrošinās šādu SBSP sniegšanu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Grupu māja (dzīvoklis)</w:t>
      </w:r>
      <w:r w:rsidR="00000000" w:rsidRPr="00000000" w:rsidDel="00000000">
        <w:rPr>
          <w:rtl w:val="0"/>
        </w:rPr>
        <w:t xml:space="preserve"> Rīgas valstspilsētā. Grupu māja (dzīvoklis) ir atsevišķs dzīvoklis vai māja, kurā personām ar GRT nodrošina mājokli un individuālu atbalstu sociālo problēmu risināšanā. Grupu mājā (dzīvoklī) personai nodrošina diennakts uzraudzību, palīdzību un atbalstu pašaprūpē vai, ja nepieciešams, sociālo aprūpi, sadzīves iemaņu apgūšanu un uzturēšanu, sociālo prasmju pilnveidi, sabiedrībai pieņemamu saskarsmes iemaņu apgūšanu, sociālā darbinieka individuālās konsultācijas. Grupu mājā (dzīvoklī) personai tiek veidota izpratne par normālu dienas ritmu, t.i., darba dienās dienas laikā persona pēc iespējas ir nodarbināta (strādā algotu darbu brīvā darba tirgū, sociālajā uzņēmumā, subsidētajā darbā vietā, u.tml.), ir algota darba meklējumos, apgūst arodu vai kvalifikāciju, apmeklē dienas aprūpes centru, specializētās darbnīcas un tamlīdzīgi.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mērķa grupa grupu mājas (dzīvokļa) pakalpojuma saņemšanai ir pilngadīgas personas ar ļoti smagiem garīga rakstura vai multipliem traucējumiem, sociālās aprūpes komponentes nodrošināšana pakalpojuma ietvarā ir obligāta. Speciālistu iesaistes kontekstā tas nozīmē sociālā aprūpētāja un aprūpētāja iesaisti pakalpojuma sniegšanā.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grupu mājas (dzīvokļa) pakalpojuma ietvaros, ja nepieciešams, paredz veselības aprūpes speciālistu atbalsta nodrošināšanu, ņemot vērā, ka mērķa grupas personām var būt hroniskas slimības un var būt nepieciešama, piemēram, medicīnas māsas veikta medikamentu ievadīšana, ādas bojājuma aprūpe, urīna katetra maiņa un aprūpe vai citas ārstniecības personas piesaistīšana atbilstoši personas individuālajām vajadzībām. Tas neizslēdz vispārējo veselības aprūpes pakalpojumu izmantošanu kā prioritāru gadījumos, kad tas ir iespējams. Minētais atbilst Ministru kabineta 2017. gada 13. jūnija noteikumiem Nr. 338 “Prasības sociālo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Dienas aprūpes centrs</w:t>
      </w:r>
      <w:r w:rsidR="00000000" w:rsidRPr="00000000" w:rsidDel="00000000">
        <w:rPr>
          <w:rtl w:val="0"/>
        </w:rPr>
        <w:t xml:space="preserve"> Rīgas valstspilsētā un Liepājas valstspilsētā. Dienas aprūpes centrs dienas laikā nodrošina sociālās aprūpes un sociālās rehabilitācijas pakalpojumus, sociālo prasmju attīstību, izglītošanu un brīvā laika pavadīšanas iespējas. Dienas aprūpes centrs strādā pilnu darba dienu, bet nepieciešamais pakalpojuma apjoms tiek pielāgots individuāli atbilstoši katras personas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prasībām, kas noteiktas normatīvajos aktos par prasībām sociālo pakalpojumu sniedzējiem, veselības aprūpes speciālistu iekļaušana dienas aprūpes centru pakalpojumos ir iespējama, bet nav obligāta. Pasākuma ietvaros sniegto dienas aprūpes centru pakalpojumos veselības aprūpes speciālistu iesaiste ir obligāta, jo Eiropas Savienības noteiktās sabiedrībā balstītu sociālo pakalpojumu vienības izmaksās dienas aprūpes pakalpojumam pakalpojuma finansētajās darbībās ir iekļauta medicīniskā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SBSP, kurus plānots projekta ietvaros nodrošināt projekta mērķa grupas personām, ir jābūt reģistrētiem sociālo pakalpojumu sniedzēju reģistrā. Tostarp sociālo pakalpojumu sniedzēju reģistrā ir jābūt reģistrētam gan pakalpojumu sniedzējam, gan sniegšanas vietai, gan konkrētajam pakalpojuma veidam attiecīgajai mērķa grupai. SBSP sniegšanas vietām jābūt pilnībā aprīkotām un funkcionālām pilnvērtīga pakalpojuma nodrošināšanai projekta mērķa grupas personām. 4.3.5.1. pasākuma 3. kārtas ietvaros ieguldījumi SBSP sniegšanas vietu pilnveidē (tai skaitā pakalpojumu infrastruktūrā) nav atbalstāmi.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Komunikācijas un vizuālās identitātes prasību nodrošināšanas pasākumi.</w:t>
      </w:r>
      <w:r w:rsidR="00000000" w:rsidRPr="00000000" w:rsidDel="00000000">
        <w:rPr>
          <w:rtl w:val="0"/>
        </w:rPr>
        <w:t xml:space="preserve"> Īstenojot projektu, finansējuma saņēmēji nodrošina informācijas un publicitātes, kā arī vizuālās identitātes pasākumus, kas noteikti regulas Nr. 2021/1060 47. un 50. pantā, normatīvajos aktos par kārtību, kādā Eiropas Savienības fondu vadībā iesaistītās institūcijas nodrošina šo fondu ieviešanu 2021.—2027. gada plānošanas periodā un ES fondu 2021.–2027. gada  un Atveseļošanās fonda komunikācijas un dizaina vadlīnijās.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Projekta vadība un tā īstenošanas nodrošināšana.</w:t>
      </w:r>
      <w:r w:rsidR="00000000" w:rsidRPr="00000000" w:rsidDel="00000000">
        <w:rPr>
          <w:rtl w:val="0"/>
        </w:rPr>
        <w:t xml:space="preserve"> Šīs darbības ietvaros finansējuma saņēmējs nodrošina visas nepieciešamās darbības (speciālistu piesaiste, maksājumu pieprasījumu sagatavošana u.c.), kas saistītas ar projekta vadību un tā īstenošanas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3.kārtas ietvaros paredzēta </w:t>
      </w:r>
      <w:r w:rsidR="00000000" w:rsidRPr="00000000" w:rsidDel="00000000">
        <w:rPr>
          <w:b w:val="1"/>
          <w:rtl w:val="0"/>
        </w:rPr>
        <w:t xml:space="preserve">vienkāršoto izmaksu </w:t>
      </w:r>
      <w:r w:rsidR="00000000" w:rsidRPr="00000000" w:rsidDel="00000000">
        <w:rPr>
          <w:rtl w:val="0"/>
        </w:rPr>
        <w:t xml:space="preserve">piemērošana: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dienas aprūpes centra pakalpojumam</w:t>
      </w:r>
      <w:r w:rsidR="00000000" w:rsidRPr="00000000" w:rsidDel="00000000">
        <w:rPr>
          <w:rtl w:val="0"/>
        </w:rPr>
        <w:t xml:space="preserve"> – vienības izmaksu likme, kas noteikta Eiropas Komisijas (EK) 2023. gada 1. septembra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sabiedrībā balstītu dienas aprūpes pakalpojumu sniegšanai, kas ir 8.25 </w:t>
      </w:r>
      <w:r w:rsidR="00000000" w:rsidRPr="00000000" w:rsidDel="00000000">
        <w:rPr>
          <w:i w:val="1"/>
          <w:rtl w:val="0"/>
        </w:rPr>
        <w:t xml:space="preserve">euro</w:t>
      </w:r>
      <w:r w:rsidR="00000000" w:rsidRPr="00000000" w:rsidDel="00000000">
        <w:rPr>
          <w:rtl w:val="0"/>
        </w:rPr>
        <w:t xml:space="preserve"> stundā vienai mērķa grupas personai. Vienlaikus kopējais atbalsts dienas aprūpes tipa pakalpojumu sniegšanai projektā nevarēs pārsniegt 31 670</w:t>
      </w:r>
      <w:r w:rsidR="00000000" w:rsidRPr="00000000" w:rsidDel="00000000">
        <w:rPr>
          <w:i w:val="1"/>
          <w:rtl w:val="0"/>
        </w:rPr>
        <w:t xml:space="preserve"> euro</w:t>
      </w:r>
      <w:r w:rsidR="00000000" w:rsidRPr="00000000" w:rsidDel="00000000">
        <w:rPr>
          <w:rtl w:val="0"/>
        </w:rPr>
        <w:t xml:space="preserve"> 24 mēnešu periodā vienai mērķa grupas personai, kas Eiropas Savienības (ES) līmeņa vienības izmaksu dubultā gada likme (2 gadi x 15 835 </w:t>
      </w:r>
      <w:r w:rsidR="00000000" w:rsidRPr="00000000" w:rsidDel="00000000">
        <w:rPr>
          <w:i w:val="1"/>
          <w:rtl w:val="0"/>
        </w:rPr>
        <w:t xml:space="preserve">euro</w:t>
      </w:r>
      <w:r w:rsidR="00000000" w:rsidRPr="00000000" w:rsidDel="00000000">
        <w:rPr>
          <w:rtl w:val="0"/>
        </w:rPr>
        <w:t xml:space="preserve">/gadā) dienas aprūpes tipa pakalpojumu izmaksām vienai mērķa grupas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grupu mājas (dzīvokļa) pakalpojumam</w:t>
      </w:r>
      <w:r w:rsidR="00000000" w:rsidRPr="00000000" w:rsidDel="00000000">
        <w:rPr>
          <w:rtl w:val="0"/>
        </w:rPr>
        <w:t xml:space="preserve"> – tiešās attiecināmās personāla izmaksas un pārējās attiecināmās izmaksas, kuras finansējuma saņēmējs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56. panta 1. punktu plāno kā vienu izmaksu pozīciju 40 procentu apmērā no grupu mājas pakalpojuma sniegšanai plānotajām tiešajām personāla izmaksām. Grupu mājas (dzīvokļa) pakalpojuma sniegšanas tiešās attiecināmās personāla izmaksas ietver finansējuma saņēmēja projekta vadības un īstenošanas personāla atlīdzības izmaksas, kas radušās uz darba tiesisko attiecību vai iepirkumu līgumu pamata. Minētais nozīmē, ka tiešās attiecināmās personāla izmaksas ietver arī finansējuma saņēmēja uz iepirkuma līguma (t.i. ārpakalpojumā) piesaistīta projekta vadības un īstenošanas personāla atlīdzības izmaksas. Tādējādi finansējuma saņēmējs var piesaistīt ārpakalpojumā personālu atbalsta pasākumu un grupu mājas pakalpojuma nodrošināšanai 4.3.5.1. pasākuma 3. kārtas ietvaros. Vienlaikus iepirkuma (pakalpojuma) līgumā personāla izmaksām ir jābūt skaidri identificējamām. Piemēram, ja finansējuma saņēmējs ārpakalpojuma līgumā ar personālu uztic ārējam speciālistam atsevišķu grupas mājokļa pakalpojumu sniegšanu, dažādie izmaksu veidi ir jānorāda rēķinā. Speciālista alga tiks uzskatīta par ārēja personāla izmaksām. Ja personāla izmaksas par speciālistu darbu nav identificējamas kā kategorija, kas ir nošķirama no citām izmaksu kategorijām kā, piemēram, grupu mājas pakalpojuma sniegšanai nepieciešamo materiālu nodrošināšana, tās nevar izmantot par pamatu vienotajām likmēm, piemēram, vienotajai likmei 40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pārējās attiecināmajās izmaksās var plānot, piemēram, izejmateriāli un citas pakalpojuma sniegšanai nepieciešamās izmaksas (tai skaitā, komunālie maksājumi, telekomunikāciju pakalpojumi, arī speciālistu atlīdzības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sākotnēji 4.3.5.1. pasākuma 3. kārtas projektiem bija plānots piemērot  Eiropas Komisijas noteikto vienības izmaksu likmi sabiedrībā balstītiem aprūpes mājās pakalpojumiem (1 705 </w:t>
      </w:r>
      <w:r w:rsidR="00000000" w:rsidRPr="00000000" w:rsidDel="00000000">
        <w:rPr>
          <w:i w:val="1"/>
          <w:rtl w:val="0"/>
        </w:rPr>
        <w:t xml:space="preserve">euro </w:t>
      </w:r>
      <w:r w:rsidR="00000000" w:rsidRPr="00000000" w:rsidDel="00000000">
        <w:rPr>
          <w:rtl w:val="0"/>
        </w:rPr>
        <w:t xml:space="preserve">mēnesī par grupu mājas pakalpojuma sniegšanu vienai mērķa grupas personai), konsultējoties ar Rīgas valstspilsētas pašvaldību, kuras 4.3.5.1. pasākuma 3. kārtas projektā plānota grupu mājas pakalpojuma sniegšana, tika secināts, ka faktiskās grupu mājas pakalpojuma sniegšanas izmaksas līdzvērtīgā pakalpojumu infrastruktūrā[1] ir lielākas kā Eiropas Komisijas noteiktā vienības izmaksu likme un sastāda vidēji 3 601 euro mēnesī par grupu mājas pakalpojuma sniegšanu vienai mērķa grupas personai. Ņemot vērā, ka apmēram 90 procentus no grupu mājas pakalpojuma sniegšanas izmaksām veido speciālistu atalgojums, 4.3.5.1. pasākuma 3. kārtas ietvaros grupu mājas pakalpojuma sniegšanai tiek plānotas personāla atlīdzības izmaksas un pārējās attiecināmās izmaksas 40 procentu apmērā no grupu mājas pakalpojuma sniegšanai nepieciešamajām personāla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piemērotu dienas aprūpes pakalpojumu vienības izmaksas dienas aprūpes centra pakalpojuma sniegšanā, personai ir jānodrošina visas zemāk minētās pakalpojuma komponentes: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medicīniskā aprūpe (veselības aprūpes speciālistu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palīdzība pašaprūpē;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funkcionālo un sociālo prasmju attīstības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aktivitātes grupās, piemēram, kognitīvo spēju uzturēšanai vai attīstībai, prasmju un kustību attīstību veicinošas nodarbības, brīvā laika aktivitātes un relaksējošās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saņemšanas laikā, pakalpojuma sniedzējs aprūpes procesā aizstāj personas ģimenes vai mājsaimniecības locekļus, nodrošinot ģimenes locekļiem atelpu no mērķa grupas personas aprūpes.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saskaņā ar prasībām, kas noteiktas normatīvajos aktos par prasībām sociālo pakalpojumu sniedzējiem, sociālās aprūpes nodrošināšana un veselības aprūpes speciālistu iekļaušana dienas aprūpes centru pakalpojumos ir iespējama, bet nav obligāta, pasākuma ietvaros finansētajos dienas aprūpes centru pakalpojumos sociālās aprūpes un veselības aprūpes komponentes pakalpojuma ietvarā ir obligātas. Speciālistu iesaistes kontekstā tas nozīmē sociālā aprūpētāja un aprūpētāja iesaisti pakalpojuma sniegšanā. Veselības aprūpes speciālistu atbalsts sociālā pakalpojuma ietvaros ir jāplāno atbilstoši klientu individuālajām vajadzībām – saņemot individuālu atbalstu vai piedaloties grupu nodarbībās. Papildus ir jāņem vērā, ka, ja sociālā pakalpojuma ietvaros tiek veikta ārstniecība, saskaņā ar Ministru kabineta 2017. gada 13. jūnija noteikumu Nr. 338 “Prasības sociālo pakalpojumu sniedzējiem” 2.8. apakšpunktu, sociālo pakalpojumu sniedzējam ir jāreģistrējas ārstniecības iestāžu reģistrā vai sociālo pakalpojumu sniedzējam ir jābūt līgumam ar ārstniecības iestādi par ārstniecības pakalpojumu 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izmaksām tiek piemērota stundas likme, pakalpojuma sniedzējam ir jānodrošina mērķa grupas personu apmeklējumu (pakalpojuma saņemšanas stundu) uzskaite un darbinieku darba laika uzskaites tabulas vai citi pārbaudāmi laika pārvaldības ieraksti.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TA projekts paredz, ka 4.3.5.1. pasākuma 3. kārtas projekta īstenošanas laikā mērķa grupām nav jāveic līdzmaksājums par pakalpojumu nodrošināšanu. Vienīgais izņēmums ir grupu mājas (dzīvokļa) pakalpojumus, kurā saskaņā ar Ministru kabineta 2007. gada 4. decembra noteikumu Nr. 829 “Noteikumi par dienas centru, grupu māju (dzīvokļu) un pusceļa māju izveidošanas un uzturēšanas izdevumu līdzfinansēšanu” 22. punktu grupu mājas (dzīvokļa) klienta pienākums ir samaksāt pakalpojuma sniedzējam par dzīvojamās telpas, virtuves un koplietošanas telpu ekspluatāciju jeb komunālos maksājumus (atbilstoši lietojamajai daļai), kādus personai rastos arī dzīvojot parastā mājoklī. Taču šos komunālos maksājumus nevar uzskatīt par pakalpojuma izmaksām. Visas pārējās ar pakalpojumu sniegšanu saistītās izmaksas ir jāfinansē pašvaldībai (šajā gadījumā no projekta personāla atlīdzības izmaksām un pārējām izmaksām 40 procentu apmērā no atlīdzības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SBSP sniegšanas vienkāršoto izmaksu rezultātus pamatojošie dokumenti dienas aprūpes centra pakalpojuma gadījumā būs par pamatu izdevumu attiecināšanai un maksājumu veikšanai, būs finansējuma saņēmēja sagatavotās un sadarbības iestādei iesniegtās atskaites un pārskati par mērķa grupas personām sniegtajiem SBSP un to apmēru stundās. Savukārt detālāka informācija un uzskaite par katrai mērķa grupas personai sniegto atbalstu un tā apmēru tiks nodrošināta pie sociālo pakalpojumu sniedzēja un sadarbības iestādei būs pieejama, veicot pārbaudes projekta īstenošanas vietā vai pēc pieprasījuma. Savukārt grupu mājas (dzīvokļa) pakalpojuma gadījumā SBSP sniegšanas vienkāršoto izmaksu rezultātus pamatojošie dokumenti būs noslēgtie darba un pakalpojuma līgumi ar pakalpojuma sniegšanā iesaistītajiem speciālistiem un viņu darba laika uzskaites dokumentācija, kas apliecina pakalpojuma sniegšanu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nosaka arī citus pienākumus finansējuma saņēmējiem, kas jāņem vērā, īstenojot projektu, tai skaitā attiecībā uz korupcijas un interešu konflikta novēršanas jautājumiem, personāla piesaisti, iepirkumu īstenošanu, obligātajiem publicitātes pasākumiem un dubultfinansēšanas risku novēršanu. Lai nodrošinātu dubultā finansējuma neiestāšanos, finansējuma saņēmējam ir aizliegts projektā plānotās atbalstāmās darbības un projektā sniegto atbalstu mērķa grupas personām finansēt no citiem valsts, pašvaldības vai ārvalstu finanšu atbalsta instrumentiem. Tas nozīmē, ka, piemēram, projekta ietvaros finansēto dienas aprūpes centra pakalpojuma likmi 8.25 euro stundā vienlaikus tai pašai mērķa grupas personai nevar finansēt no cita finansējuma avota, t.i., finansēt dubultā. Gadījumā, ja finansējuma saņēmēja faktiskās dienas aprūpes centra pakalpojuma sniegšanas izmaksas ir lielākas (piemēram, 10 euro stundā), tad finansējuma saņēmējs var izmaksu daļu, kuru nesedz projekta vienības izmaksu likme (šajā gadījumā 1.75 euro), līdzfinansēt no cita finansējuma avota, tai skaitā pašvaldības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ietvaros atbalstītie projekti būs stratēģiski svarīgi projekti. Lai nodrošinātu papildu komunikācijas pasākumus par stratēģiski svarīgu projektu īstenošanu, Labklājības ministrija kā ES fondu atbildīgā iestāde izstrādā komunikācijas pasākumu plānu un 4.3.5.1. pasākuma 3. kārtas īstenošanas laikā organizē vismaz vienu informatīvo pasākumu vai aktivitāti, kurā iesaista Eiropas Komisijas pārstāvniecību Latvijā, Labklājības ministriju, vadošo iestādi un sadarbības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investīcijām būs tieša ietekme uz horizontālo principu “Vienlīdzība, iekļaušana, nediskriminācija un pamattiesību ievērošana” (skat. skaidrojumu pie anotācijas 8. punkta “Horizontālā ietekme”).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investīcijām nav ietekme uz horizontālajiem principiem (HP) “Klimatdrošināšana”, “Energoefektivitāte pirmajā vietā” un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9.3.1.3. pasākuma “Sabiedrībā balstītu sociālo pakalpojumu infrastruktūras attīstība Rīgas valstspilsētā" tika izveidota grupu mājas pakalpojuma infrastruktūra personām ar ļoti smagiem garīga rakstura un multipliem traucējumiem.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noteikt 4.3.5.1. pasākuma trešās kārtas kopējo attiecināmo finansējumu 2 597 764 </w:t>
      </w:r>
      <w:r w:rsidR="00000000" w:rsidRPr="00000000" w:rsidDel="00000000">
        <w:rPr>
          <w:i w:val="1"/>
          <w:rtl w:val="0"/>
        </w:rPr>
        <w:t xml:space="preserve">euro</w:t>
      </w:r>
      <w:r w:rsidR="00000000" w:rsidRPr="00000000" w:rsidDel="00000000">
        <w:rPr>
          <w:rtl w:val="0"/>
        </w:rPr>
        <w:t xml:space="preserve">, kas  par 400 960 </w:t>
      </w:r>
      <w:r w:rsidR="00000000" w:rsidRPr="00000000" w:rsidDel="00000000">
        <w:rPr>
          <w:i w:val="1"/>
          <w:rtl w:val="0"/>
        </w:rPr>
        <w:t xml:space="preserve">euro</w:t>
      </w:r>
      <w:r w:rsidR="00000000" w:rsidRPr="00000000" w:rsidDel="00000000">
        <w:rPr>
          <w:rtl w:val="0"/>
        </w:rPr>
        <w:t xml:space="preserve"> pārsniedz 4.3.5.1. pasākuma kopējo (visu kārtu) attiecināmā finansējuma apmēru, kas atbilstoši Eiropas Savienības kohēzijas politikas programmai 2021.—2027. gadam un tās papildinājumam plānots 70 051 025 </w:t>
      </w:r>
      <w:r w:rsidR="00000000" w:rsidRPr="00000000" w:rsidDel="00000000">
        <w:rPr>
          <w:i w:val="1"/>
          <w:rtl w:val="0"/>
        </w:rPr>
        <w:t xml:space="preserve">euro</w:t>
      </w:r>
      <w:r w:rsidR="00000000" w:rsidRPr="00000000" w:rsidDel="00000000">
        <w:rPr>
          <w:rtl w:val="0"/>
        </w:rPr>
        <w:t xml:space="preserve"> visu piecu 4.3.5.1. pasākuma kārtu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šobrīd apstiprinātajiem MK noteikumiem par 4.3.5.1. pasākuma kārtu īstenošanu, plānots šāds 4.3.5.1. pasākuma kopējā finansējuma sadalījums pa 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1.kārta</w:t>
      </w:r>
      <w:r w:rsidR="00000000" w:rsidRPr="00000000" w:rsidDel="00000000">
        <w:rPr>
          <w:rtl w:val="0"/>
        </w:rPr>
        <w:t xml:space="preserve"> –37 574 226 </w:t>
      </w:r>
      <w:r w:rsidR="00000000" w:rsidRPr="00000000" w:rsidDel="00000000">
        <w:rPr>
          <w:i w:val="1"/>
          <w:rtl w:val="0"/>
        </w:rPr>
        <w:t xml:space="preserve">euro</w:t>
      </w:r>
      <w:r w:rsidR="00000000" w:rsidRPr="00000000" w:rsidDel="00000000">
        <w:rPr>
          <w:rtl w:val="0"/>
        </w:rPr>
        <w:t xml:space="preserve">. 1. kārtas ietvaros turpinās otrā uzsaukuma projektu iesniegumu vērtēšana un šobrīd 1. kārtas ietvaros līgumiem piesaistītais finansējums sastāda 15 070 537 </w:t>
      </w:r>
      <w:r w:rsidR="00000000" w:rsidRPr="00000000" w:rsidDel="00000000">
        <w:rPr>
          <w:i w:val="1"/>
          <w:rtl w:val="0"/>
        </w:rPr>
        <w:t xml:space="preserve">euro</w:t>
      </w:r>
      <w:r w:rsidR="00000000" w:rsidRPr="00000000" w:rsidDel="00000000">
        <w:rPr>
          <w:rtl w:val="0"/>
        </w:rPr>
        <w:t xml:space="preserve"> jeb 40% no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2.kārta</w:t>
      </w:r>
      <w:r w:rsidR="00000000" w:rsidRPr="00000000" w:rsidDel="00000000">
        <w:rPr>
          <w:rtl w:val="0"/>
        </w:rPr>
        <w:t xml:space="preserve"> – 5 622 672 </w:t>
      </w:r>
      <w:r w:rsidR="00000000" w:rsidRPr="00000000" w:rsidDel="00000000">
        <w:rPr>
          <w:i w:val="1"/>
          <w:rtl w:val="0"/>
        </w:rPr>
        <w:t xml:space="preserve">euro</w:t>
      </w:r>
      <w:r w:rsidR="00000000" w:rsidRPr="00000000" w:rsidDel="00000000">
        <w:rPr>
          <w:rtl w:val="0"/>
        </w:rPr>
        <w:t xml:space="preserve">. 2. kārtas ietvaros turpinās projektu iesniegumu vērtēšana un šobrīd 2. kārtas ietvaros līgumiem piesaistītais finansējums sastāda 4 355 610 </w:t>
      </w:r>
      <w:r w:rsidR="00000000" w:rsidRPr="00000000" w:rsidDel="00000000">
        <w:rPr>
          <w:i w:val="1"/>
          <w:rtl w:val="0"/>
        </w:rPr>
        <w:t xml:space="preserve">euro</w:t>
      </w:r>
      <w:r w:rsidR="00000000" w:rsidRPr="00000000" w:rsidDel="00000000">
        <w:rPr>
          <w:rtl w:val="0"/>
        </w:rPr>
        <w:t xml:space="preserve"> jeb 77% no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 kārta </w:t>
      </w:r>
      <w:r w:rsidR="00000000" w:rsidRPr="00000000" w:rsidDel="00000000">
        <w:rPr>
          <w:rtl w:val="0"/>
        </w:rPr>
        <w:t xml:space="preserve">– 15 461 615 </w:t>
      </w:r>
      <w:r w:rsidR="00000000" w:rsidRPr="00000000" w:rsidDel="00000000">
        <w:rPr>
          <w:i w:val="1"/>
          <w:rtl w:val="0"/>
        </w:rPr>
        <w:t xml:space="preserve">euro</w:t>
      </w:r>
      <w:r w:rsidR="00000000" w:rsidRPr="00000000" w:rsidDel="00000000">
        <w:rPr>
          <w:rtl w:val="0"/>
        </w:rPr>
        <w:t xml:space="preserve">. 4. kārtas ietvaros turpinās projektu iesniegumu vērtēšana un šobrīd 4. kārtas ietvaros līgumiem piesaistītais finansējums sastāda 341 040 </w:t>
      </w:r>
      <w:r w:rsidR="00000000" w:rsidRPr="00000000" w:rsidDel="00000000">
        <w:rPr>
          <w:i w:val="1"/>
          <w:rtl w:val="0"/>
        </w:rPr>
        <w:t xml:space="preserve">euro</w:t>
      </w:r>
      <w:r w:rsidR="00000000" w:rsidRPr="00000000" w:rsidDel="00000000">
        <w:rPr>
          <w:rtl w:val="0"/>
        </w:rPr>
        <w:t xml:space="preserve"> jeb 2.2% no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kārta</w:t>
      </w:r>
      <w:r w:rsidR="00000000" w:rsidRPr="00000000" w:rsidDel="00000000">
        <w:rPr>
          <w:rtl w:val="0"/>
        </w:rPr>
        <w:t xml:space="preserve"> – 9 195 708 </w:t>
      </w:r>
      <w:r w:rsidR="00000000" w:rsidRPr="00000000" w:rsidDel="00000000">
        <w:rPr>
          <w:i w:val="1"/>
          <w:rtl w:val="0"/>
        </w:rPr>
        <w:t xml:space="preserve">euro</w:t>
      </w:r>
      <w:r w:rsidR="00000000" w:rsidRPr="00000000" w:rsidDel="00000000">
        <w:rPr>
          <w:rtl w:val="0"/>
        </w:rPr>
        <w:t xml:space="preserve">. 2. kārtas ietvaros turpinās projektu iesniegumu vērtēšana un šobrīd 5. kārtas ietvaros līgumiem piesaistītais finansējums sastāda 1 547 509 </w:t>
      </w:r>
      <w:r w:rsidR="00000000" w:rsidRPr="00000000" w:rsidDel="00000000">
        <w:rPr>
          <w:i w:val="1"/>
          <w:rtl w:val="0"/>
        </w:rPr>
        <w:t xml:space="preserve">euro</w:t>
      </w:r>
      <w:r w:rsidR="00000000" w:rsidRPr="00000000" w:rsidDel="00000000">
        <w:rPr>
          <w:rtl w:val="0"/>
        </w:rPr>
        <w:t xml:space="preserve"> jeb 17% no plānotā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atlikušais finansējuma apmērs 2 196 804 euro sākotnēji tika plānots 4.3.5.1. pasākuma 3. kārtas īstenošanai[3]. Taču, ņemot vērā, ka Rīgas valstspilsētas pašvaldības faktiskās grupu mājas (dzīvokļa) pakalpojuma izmaksas ir augstākas kā sākotnēji plānots un to, ka no 4.3.5.1. pasākuma ietvaros līgumiem par projektu īstenošanu šobrīd ir piesaistīts finansējums 30% apmērā no kopējā pieejamā 4.3.5.1. pasākuma attiecināmā finansējuma, 4.3.5.1. pasākuma 3. kārtai jau šobrīd tiek ieplānots lielāks kopējā attiecināmā finansējuma apmērs, kas pēc projektu iesniegumu atlašu noslēgšanas citās 4.3.5.1. pasākuma kārtās tiks pārdalīts no kādas citas 4.3.5.1. pasākuma kārtas, nodrošinot 4.3.5.1. pasākuma 3. kārtai pieejamo kopējo attiecināmo finansējumu 2 597 764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MK noteikumu izstrādē un saskaņošanā, TA projektam ir pievienots MK protokollēmums, kas uzdod LM  līdz 2026. gada 31. martam veikt finansējuma pārdali no citām 4.3.5.1. pasākuma kārtam, sagatavojot un iesniedzot Valsts kancelejā attiecīgo 4.3.5.1. pasākuma kārtu īstenošanas Ministru kabineta noteikumu grozījumus, lai nodrošinātu 4.3.5.1. pasākuma 3. kārtas kopējā attiecināmā finansējuma pieejamību 2 597 764 </w:t>
      </w:r>
      <w:r w:rsidR="00000000" w:rsidRPr="00000000" w:rsidDel="00000000">
        <w:rPr>
          <w:i w:val="1"/>
          <w:rtl w:val="0"/>
        </w:rPr>
        <w:t xml:space="preserve">euro</w:t>
      </w:r>
      <w:r w:rsidR="00000000" w:rsidRPr="00000000" w:rsidDel="00000000">
        <w:rPr>
          <w:rtl w:val="0"/>
        </w:rPr>
        <w:t xml:space="preserve"> apmērā. LM pēc projektu iesniegumu atlašu noslēgšanās izvērtēs nepieciešamību attiecīgajā 4.3.5.1. pasākuma kārtā sludināt atkārtotas projektu iesniegumu atlases un uz tā pamata pieņems lēmumu par finanšu avotu 4.3.5.1. pasākuma 3. kārtas 400 960 </w:t>
      </w:r>
      <w:r w:rsidR="00000000" w:rsidRPr="00000000" w:rsidDel="00000000">
        <w:rPr>
          <w:i w:val="1"/>
          <w:rtl w:val="0"/>
        </w:rPr>
        <w:t xml:space="preserve">euro</w:t>
      </w:r>
      <w:r w:rsidR="00000000" w:rsidRPr="00000000" w:rsidDel="00000000">
        <w:rPr>
          <w:rtl w:val="0"/>
        </w:rPr>
        <w:t xml:space="preserve">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Potenciālie finanšu avoti 4.3.5.1. pasākuma 3. kārtas 400 960 euro nodrošināšanai ir 4.3.5.1. pasākuma 2. kārta vai 4.kārta. 4.3.5.1. pasākuma 2. kārtā šobrīd ir noslēgti līgumi un vienošanās par 11 no plānoto 13 projektu īstenošanu (diviem projektu iesniegumiem nosacījumu izpildes termiņš ir 2025. gada 31. oktobris). Gadījumā, ja netiek iesniegts viens vai abi precizētie projektu iesniegumi, 4.3.5.1. pasākumā izveidosies finansējuma atlikums līdz indikatīvi 1,26 milj. euro. Savukārt 4.3.5.1. pasākuma 4. kārtas sākotnējā uzsaukumā ir iesniegti projektu iesniegumi par 45.45% no 4. kārtai pieejamā kopējā finansējuma apmērā, līdz ar to 4.3.5.1. pasākuma 3. kārtai iztrūkstošo 400 960 euro apmērā jebkurā brīdī var pārdalīt no 4.3.5.1. pasākuma 4. 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pārdalei var būt ietekme uz 4.3.5.1. pasākuma sasniedzamajiem Eiropas Savienības kohēzijas politikas programmas 2021.—2027. gadam rādītājiem. Ja pārdale tiks veikta no 2. kārtas finansējuma atlikuma, tad tiks samazināts 2. kārtas iznākuma rādītājs, bet vienlaikus tiks palielināts 4. kārtas iznākuma rādītājs, jo atlikušā 2. kārtas finansējuma atlikuma daļa tiks pārdalīta uz 4. kārtu. Ja pārdale tiks veikta no 4. kārtas finansējuma, tad attiecīgi būs jāsamazina 4. kārtas iznākuma rādītājs (indikatīvi par 47 atbalstu saņēmušām personām). Finansējuma pārdalei nebūs ietekme uz finansējuma intervences kodiem.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LM sadarbībā ar Centrālo finanšu un līgumu aģentūru nodrošinās, ka līgumsaistības citās 4.3.5.1. pasākuma kārtās netiek uzņemtas par lielāku summu kā 4.3.5.1. pasākuma finansējums kopā.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ietvaros attiecībā uz SBSP sniegšanu pašvaldībās nav ietekmes uz konkurenci un tirdzniecību, tas nekvalificējas kā valsts atbalsta pasākums, jo, veicot valsts atbalsta piemērošanas nepieciešamības izvērtējumu saskaņā ar Komercdarbības atbalsta kontroles likuma (turpmāk – KAKL) 5. pantā noteiktajām raksturojošajām pazīmēm, LM secināja,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izpildās KAKL 5. panta 1. punkta pazīme – finansējumu sniedz tieši no publiskiem finanšu līdzekļiem (t.i., ERAF finansējuma un pašvaldību budžeta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izpildās KAKL 5. panta 2. punkta pazīme – lai gan finansiālās palīdzības saņēmējs – pašvaldība nav uzskatāms par saimnieciskās darbības veicēju, jo pašvaldība un tās struktūrvienības – sociālo pakalpojumu sniedzēji saskaņā ar Valsts pārvaldes iekārtas likuma 1. panta 2) daļu ir atvasināta publiska persona, TA projekts pieļauj iespēju kā 4.3.5.1. pasākuma 3. kārtas finansējuma saņēmējam būt arī citam sociālo pakalpojumu sniedzējam (piemēram, biedrībai vai nodibinājumam), kam pašvaldība deleģējusi 4.3.1.5. pasākuma ietvaros izveidoto SBSP sniegšanu. Attiecībā uz šiem finansējuma saņēmējiem un to sniegtajiem SBSP nevar izslēgt KAKL 5. panta 2. punkta pazīmi, ņemot vērā, ka projekta ietvaros sniegtie SBSP var tikt uzskatīti par finansējuma saņēmēju saimniecisko darbību, un attiecīgi projekta ietvaros sniegtais atbalsts var sniegt ekonomisko priekšrocību pret citiem tirgus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izpildās KAKL 5. panta 3. punkta pazīme – atsevišķām pašvaldībām tiks piešķirta selektīva priekšrocība (atbalsts tiks piešķirts pašvaldībām ar lielāko personu ar ļoti smagiem garīga rakstura traucējumiem skaitu pašvaldību iedzīvotāju vidū). Tāpat pašvaldībām vai to izveidotiem vai uz deleģējuma līguma piesaistītiem sociālo pakalpojumu sniedzējiem tiks piešķirta selektīva priekšrocība, jo tirgū darbojas arī citi sociālo pakalpojumu sniedzēji – saimnieciskās darbības veicēji, kas darbojas SIA un biedrību un nodibinājumu statusā, piemēram, biedrība “Rīgas pilsētas “Rūpju bērns””, biedrība “Latvijas Kustība par neatkarīgu dzīvi”, biedrība “Latvijas Samariešu apvienība”,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neizpildās</w:t>
      </w:r>
      <w:r w:rsidR="00000000" w:rsidRPr="00000000" w:rsidDel="00000000">
        <w:rPr>
          <w:rtl w:val="0"/>
        </w:rPr>
        <w:t xml:space="preserve"> KAKL 5. panta 4. punkta pazīme – 4.3.5.1. pasākuma 3. kārtas ietvaros sniedzamie SBSP (grupu mājas (dzīvokļi), dienas aprūpes centrs) būs limitēti – pakalpojumi pamatā tiks sniegti tikai tajās pašvaldībās, kurās ir vislielākais personu ar ļoti smagiem garīga rakstura un multipliem traucējumiem skaits un lielākais kopējo iedzīvotāju skaits. Līdz ar to LM ieskatā netiek ietekmēta tirdzniecība un kropļota konkurence Eiropas Savienības iekšējā tirgū, jo jaunu pakalpojumu klāsts tiks nodrošināts pašvaldībās ar lielāko mērķa grupas personu īpatsvaru un lielāko kopējo iedzīvotāju skaitu (Rīgas un Liepājas valstspilsētās).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w:t>
      </w:r>
      <w:r w:rsidR="00000000" w:rsidRPr="00000000" w:rsidDel="00000000">
        <w:rPr>
          <w:b w:val="1"/>
          <w:rtl w:val="0"/>
        </w:rPr>
        <w:t xml:space="preserve">4.3.5.1. pasākuma 3. kārtā paredzētais atbalsts nav uzskatāms par komercdarbības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4.3.5.1. pasākuma 3. kārtas ievaros SBSP tiks nodrošināti Rīgas un Liepājas valstspilsētu administratīvajās teritorijās, arī citu pašvaldību mērķa grupas personām būs iespēja saņemt pakalpojumus, ja šīs personas atbildīs 4.3.5.1. pasākuma 3. kārtas mērķa grupas pazīmēm un ja Rīgas un Liepājas valstspilsētās dzīvojošas mērķa grupas personas nenodrošinās pilnu pakalpojumu noslodzi. Minētais tiks nodrošināts, sadarbojoties pašvaldību sociālajiem dienestiem, kas jau iepriekšējā ES fondu plānošanas periodā slēdza vienošanās par SBSP nodrošināšanu savām mērķa grupas personām citu pašvaldību izveidotajā SBSP infrastruktūrā. Šādas vienošanās starp pašvaldībām ietver arī informācijas apmaiņas un savstarpējo norēķinu kārtību par SBSP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kārtai izmaksu un ieguvumu analīze netiek veikta, jo 4.3.5.1. pasākuma 3. kārta tiek īstenota tiešā sinerģijā ar 4.3.1.5. pasākumu, kura ietvaros divās pašvaldībās (Rīga un Liepāja) tiek veidota un pielāgota jauna pakalpojumu infrastruktūra personām ar ļoti smagiem garīga rakstura un multipliem traucējumiem. Savukārt 4.3.5.1. pasākuma 3. kārtas projekti tiks īstenoti uzreiz pēc šīs infrastruktūras izveides un to ietvaros Rīgas un Liepājas pašvaldībām tiks finansēta pakalpojumu sniegšanas nodrošināšana pirmos divus gadus pēc jaunās pakalpojumu infrastruktūras izveides. Ņemot vērā, ka 4.3.1.5. pasākuma īstenošanu reglamentējošie MK noteikumi  neparedz izmaksu un ieguvumu analīzes veikšanu, bet tā vietā projekta iesniedzējiem (4.3.1.5. pasākuma finansējuma saņēmējiem) projektā bija jāpamato izvēlētais saimnieciski izdevīgākais SBSP infrastruktūras risinājums (pamatojums tika izvērtēts un atbalstīts 4.3.1.5. pasākuma projektu iesniegumu vērtēšanas fāzē), nav nepieciešams, kā arī nav lietderīgi paredzēt izmaksu un ieguvumu analīzes veikšanu tiešā sinerģijā īstenojamam 4.3.5.1. pasākuma 3. kārtas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atlikušais finansējuma apmērs 2 196 804 euro sākotnēji tika plānots 4.3.5.1. pasākuma 3. kārtas īstenošanai[1]. Taču, ņemot vērā, ka Rīgas valstspilsētas pašvaldības faktiskās grupu mājas (dzīvokļa) pakalpojuma izmaksas ir augstākas kā sākotnēji plānots un to, ka no 4.3.5.1. pasākuma ietvaros līgumiem par projektu īstenošanu šobrīd ir piesaistīts finansējums 30% apmērā no kopējā pieejamā 4.3.5.1. pasākuma attiecināmā finansējuma, 4.3.5.1. pasākuma 3. kārtai jau šobrīd tiek ieplānots lielāks kopējā attiecināmā finansējuma apmērs, kas pēc projektu iesniegumu atlašu noslēgšanas citās 4.3.5.1. pasākuma kārtās tiks pārdalīts no kādas citas 4.3.5.1. pasākuma kārtas, nodrošinot 4.3.5.1. pasākuma 3. kārtai pieejamo kopējo attiecināmo finansējumu 2 597 764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2025. gada 22. jūlija grozījumiem Ministru kabineta 2024. gada 3. septembra noteikumos Nr. 593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otrās kārtas īstenošanas noteikumi" daļa no 4.3.5.1. pasākuma 2. kārtas finansējuma atlikuma (338 656 euro) tika pārdalīta 4.3.5.1. pasākuma 3. kārtas īstenošanai un tādēļ šobrīd 4.3.5.1. pasākuma 3. kārtas īstenošanai pieejamais finansējums ir 2 196 804 euro nevis 1 858 148 euro kā tika norādīts TA sākotnējā redakcijā.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Pilngadīgas personas ar ļoti smagiem garīga rakstura un multipliem traucējumiem, kurām ir noteikta I invaliditātes grupa vai trešais vai ceturtais aprūpes līmenis.
Bērni vecumā no 16 līdz 17 gadiem (ieskaitot), kuriem ir noteikta invaliditāte un izsniegts Veselības un darbspēju ekspertīzes ārstu valsts komisijas atzinums par īpašas kopšanas nepieciešamību sakarā ar smagiem funkcionāliem traucējumiem vai ar ārstu konsīlija lēmumu noteikta paliatīvās aprūpes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kopumā ir pozitīva ietekme uz mērķa grupām – personām ar ļoti smagiem garīga rakstura un multipliem traucējumiem un ierobežotām spējām sevi aprūpēt, jo viņiem tiks nodrošināti individuālajām vajadzībām pielāgoti pakalpojumi, nodrošinot iespēju turpināt dzīvot savā mājoklī vai izmitināšanu nelielās grupās.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vai to izveidoti sociālo pakalpojumu sniedzēji vai citi sociālo pakalpojumu sniedzēji, kurus pašvaldība ir piesaistījusi pakalpojumu sniegšanas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nosaka 4.3.5.1. pasākuma 3. kārtas īstenošanas nosacījumus, kurus Liepājas valstspilsētas un Rīgas valstspilsētas pašvaldības vai to izveidoti sociālo pakalpojumu sniedzēji vai sociālo pakalpojumu sniedzēji, kurus pašvaldība ir piesaistījusi sociālā pakalpojuma sniegšanai, kā finansējuma saņēmēji varēs nodrošināt SBSP sniegšanu 4.3.1.5. pasākuma ietvaros izveidotajā pakalpojumu infrastruktūrā.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projektam kopumā ir pozitīva ietekme uz tautsaimniecību, personām ar ļoti smagiem garīga rakstura un multipliem traucējumiem. TA projekts sekmēs jaunu, iepriekš dažādu iemeslu dēļ nepieejamu SBSP sniegšanu, nodrošinot mūsdienīgu, cilvēka vajadzībām atbilstošu un aktuālu sociālo pakalpojumu klāstu, tādējādi atslogojot no aprūpes pienākumiem indikatīvi 54 ģimenes Rīgā un Liepājā un dodot iespēju iepriekš aprūpes pakalpojumu sniegšanā iesaistītajiem tuviniekiem iekļauties sabiedrībā un darba tirgū, un uzlabot dzīves kvalitāti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pasākums 3. kārtas īstenošana sekmēs Latvijas nacionālā attīstības plāna 2021.–2027. gadam Rīcības virziena “Sociālā iekļaušana” mērķa – sociālais atbalsts ir individualizēts, uz cilvēku orientēts, un tas tiek piedāvāts katram, kam tas ir vai varētu būt visvairāk vajadzīgs – sasniegšanu. Tas ir tieši saistīts ar uzdevuma Nr. 117. īstenošanu – uz individuālām vajadzībām vērstu sociālo pakalpojumu pieejamība un sociālās inovācijas pakalpojumu nodrošināšana prioritārajām grupām, īpaši personām ar invaliditāti, paliatīvās aprūpes pacientiem un senioriem, sekmējot neatkarīgas dzīves iespējas un dzīves kvalitātes saglabāšanu vai uzlabošanu.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1 104 050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1 104 050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1 298 882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1 104 050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194 832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-194 832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-194 832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-194 832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-194 832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4.3.5.1. pasākuma 3. kārtai plānotais un pieejamais kopējais attiecināmais finansējums ir 2 597 764 euro, tai skaitā ESF Plus finansējums – 2 208 099 euro un pašvaldības budžeta finansējums – 389 665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ESF Plus finansējums, kas nepārsniedz 85 procentus no 4.3.5.1. pasākuma 3. kārtas attiecināmām izmaksām. Budžeta izdevumi ir kopējie pasākuma ieviešanai nepieciešamie publiskā finansējuma (ESF Plus un pašvaldību budžeta finansējums)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4.3.5.1. pasākuma 3. kārtas projektu plānotais īstenošanas termiņš ir pēc 4.3.1.5. pasākuma ietvaros īstenoto projektu pabeigšanas (4.3.1.5. pasākuma īstenošana paredzēta līdz 2027. gada 31. decembrim), indikatīvi no 2028. gada 1. janvāra un to īstenošana paredzēta ne ilgāk kā līdz 2029. gada 31. decembrim. Precīzs projektu īstenošanas termiņš un attiecīgi 4.3.5.1. pasākuma 3. kārtas finanšu plānojums tiks noteikts, finansējuma saņēmējiem sagatavojot un iesniedzot projekta iesniegumus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2025., 2026. un 2027. gadā 4.3.5.1. pasākuma 3. kārtai finansējums šobrīd netiek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2028. gadā</w:t>
            </w:r>
            <w:r w:rsidR="00000000" w:rsidRPr="00000000" w:rsidDel="00000000">
              <w:rPr>
                <w:sz w:val="24"/>
                <w:rtl w:val="0"/>
              </w:rPr>
              <w:t xml:space="preserve"> finansējums plānots indikatīvi 1 298 882 </w:t>
            </w:r>
            <w:r w:rsidR="00000000" w:rsidRPr="00000000" w:rsidDel="00000000">
              <w:rPr>
                <w:sz w:val="24"/>
                <w:i w:val="1"/>
                <w:rtl w:val="0"/>
              </w:rPr>
              <w:t xml:space="preserve">euro</w:t>
            </w:r>
            <w:r w:rsidR="00000000" w:rsidRPr="00000000" w:rsidDel="00000000">
              <w:rPr>
                <w:sz w:val="24"/>
                <w:rtl w:val="0"/>
              </w:rPr>
              <w:t xml:space="preserve">, t.sk., ESF Plus finansējums 1 104 050 </w:t>
            </w:r>
            <w:r w:rsidR="00000000" w:rsidRPr="00000000" w:rsidDel="00000000">
              <w:rPr>
                <w:sz w:val="24"/>
                <w:i w:val="1"/>
                <w:rtl w:val="0"/>
              </w:rPr>
              <w:t xml:space="preserve">euro</w:t>
            </w:r>
            <w:r w:rsidR="00000000" w:rsidRPr="00000000" w:rsidDel="00000000">
              <w:rPr>
                <w:sz w:val="24"/>
                <w:rtl w:val="0"/>
              </w:rPr>
              <w:t xml:space="preserve"> un pašvaldību budžets 194 832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2029. gadā</w:t>
            </w:r>
            <w:r w:rsidR="00000000" w:rsidRPr="00000000" w:rsidDel="00000000">
              <w:rPr>
                <w:sz w:val="24"/>
                <w:rtl w:val="0"/>
              </w:rPr>
              <w:t xml:space="preserve"> finansējums plānots indikatīvi 1 298 882 </w:t>
            </w:r>
            <w:r w:rsidR="00000000" w:rsidRPr="00000000" w:rsidDel="00000000">
              <w:rPr>
                <w:sz w:val="24"/>
                <w:i w:val="1"/>
                <w:rtl w:val="0"/>
              </w:rPr>
              <w:t xml:space="preserve">euro</w:t>
            </w:r>
            <w:r w:rsidR="00000000" w:rsidRPr="00000000" w:rsidDel="00000000">
              <w:rPr>
                <w:sz w:val="24"/>
                <w:rtl w:val="0"/>
              </w:rPr>
              <w:t xml:space="preserve">, t.sk., ESF Plus finansējums 1 104 049 </w:t>
            </w:r>
            <w:r w:rsidR="00000000" w:rsidRPr="00000000" w:rsidDel="00000000">
              <w:rPr>
                <w:sz w:val="24"/>
                <w:i w:val="1"/>
                <w:rtl w:val="0"/>
              </w:rPr>
              <w:t xml:space="preserve">euro</w:t>
            </w:r>
            <w:r w:rsidR="00000000" w:rsidRPr="00000000" w:rsidDel="00000000">
              <w:rPr>
                <w:sz w:val="24"/>
                <w:rtl w:val="0"/>
              </w:rPr>
              <w:t xml:space="preserve"> un pašvaldību budžets 194 833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Sākot ar 2028. gadu (vai 2027. gada otrajā pusē, ja SBSP infrastruktūras izveide tiks pabeigta ātrāk), nepieciešamo valsts budžeta finansējumu Finanšu ministrija (CFLA) pēc projektu apstiprināšanas normatīvajos aktos noteiktajā kārtībā lūgs pārdalīt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Projektiem nepieciešamais finansējums tiks ieplānots Finanšu ministrijas (CFLA) apakšprogrammā 63.08.00 “Eiropas Sociālā fonda Plus (ESF+) avansa maksājumi un atmaksas finansējuma saņēmējiem (2021–2027)”.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paredz, ka pēc visu vienošanās vai līguma par projekta īstenošanu noslēgšanas sadarbības iestāde, pamatojoties uz finansējuma saņēmēju rakstisku avansa pieprasījumu, nodrošina finansējuma saņēmējiem avansa un starpposma maksājumus atbilstoši normatīvajiem aktiem par valsts budžeta līdzekļu plānošanas kārtību Eiropas Savienības fondu projektu īstenošanai un maksājumu veikšanai 2021.–2027. gada plānošanas periodā, nodrošinot avansa un starpposma maksājumu kopsummu 90 procentu apmērā no projekta apstiprinātā ESF Plus attiecināmā finansējuma (turpmāk – MK Nr. 205). Līdztekus MK noteikumu Nr. 205 tiesiskajam regulējumam, finansējuma saņēmējam TA projektā tiks piemēroti arī nosacījumi avansa maksājuma saņemšanai, proti, maksimālais avansa maksājumu apjoms ir 30% no projekta ESF Plus  finansējuma, tas izlietojams sešu mēnešu laikā saimnieciskā gada ietvaros un to var izmaksāt vairākos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projekta īstenošanas gaitā.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ESF Plus investīcijām </w:t>
      </w:r>
      <w:r w:rsidR="00000000" w:rsidRPr="00000000" w:rsidDel="00000000">
        <w:rPr>
          <w:b w:val="1"/>
          <w:rtl w:val="0"/>
        </w:rPr>
        <w:t xml:space="preserve">2 208 099</w:t>
      </w:r>
      <w:r w:rsidR="00000000" w:rsidRPr="00000000" w:rsidDel="00000000">
        <w:rPr>
          <w:b w:val="1"/>
          <w:rtl w:val="0"/>
        </w:rPr>
        <w:t xml:space="preserve"> </w:t>
      </w:r>
      <w:r w:rsidR="00000000" w:rsidRPr="00000000" w:rsidDel="00000000">
        <w:rPr>
          <w:b w:val="1"/>
          <w:i w:val="1"/>
          <w:rtl w:val="0"/>
        </w:rPr>
        <w:t xml:space="preserve">euro</w:t>
      </w:r>
      <w:r w:rsidR="00000000" w:rsidRPr="00000000" w:rsidDel="00000000">
        <w:rPr>
          <w:b w:val="1"/>
          <w:rtl w:val="0"/>
        </w:rPr>
        <w:t xml:space="preserve"> piemērots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intervences kategorija: 159. kods “Pasākumi, ar ko uzlabo pakalpojumus, kas nodrošina aprūpi ģimenes apstākļos un vietējā kopienā”;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finansējuma veids: 01. kods “Dotācija”;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teritoriālie sasniegšanas mehānismi: 33. kods “Bez teritoriālā mērķa”;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ESF Plus sekundārās tēmas: 06. kods “Bērnu nabadzības problēmas risināšana” piemērots 5% ESF Plus finansējuma jeb 110 405 </w:t>
      </w:r>
      <w:r w:rsidR="00000000" w:rsidRPr="00000000" w:rsidDel="00000000">
        <w:rPr>
          <w:i w:val="1"/>
          <w:rtl w:val="0"/>
        </w:rPr>
        <w:t xml:space="preserve">euro</w:t>
      </w:r>
      <w:r w:rsidR="00000000" w:rsidRPr="00000000" w:rsidDel="00000000">
        <w:rPr>
          <w:rtl w:val="0"/>
        </w:rPr>
        <w:t xml:space="preserve">, pārējam ESF Plus finansējumam 2 097 694 </w:t>
      </w:r>
      <w:r w:rsidR="00000000" w:rsidRPr="00000000" w:rsidDel="00000000">
        <w:rPr>
          <w:i w:val="1"/>
          <w:rtl w:val="0"/>
        </w:rPr>
        <w:t xml:space="preserve">euro</w:t>
      </w:r>
      <w:r w:rsidR="00000000" w:rsidRPr="00000000" w:rsidDel="00000000">
        <w:rPr>
          <w:rtl w:val="0"/>
        </w:rPr>
        <w:t xml:space="preserve"> apmērā piemērots 09. kods “Nepiemēro”;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dzimumu līdztiesība: 02. kods “Dzimumu līdztiesības aspekta integrēšana”.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Eiropas Parlamenta un Padomes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32012R1057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 Nr. 2021/1057, ar ko izveido Eiropas Sociālo fondu Plus (ESF+) un atceļ Regulu Nr. 1296/2013 (turpmāk – Eiropas Parlamenta un Padomes regula Nr. 2012/1057)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32023R1676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(turpmāk – EK Regula Nr. 2023/1676)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Eiropas Parlamenta un Padomes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2021/1060 64.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2021/1060 56.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19. punks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 Nr. 2021/1057, ar ko izveido Eiropas Sociālo fondu Plus (ESF+) un atceļ Regulu Nr. 1296/2013 (turpmāk – Eiropas Parlamenta un Padomes regula Nr. 2012/1057)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2012/1057  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29.9.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(EK) 2023. gada 7. jūlija deleģētajā regulā 2023/1676, ar ko Eiropas Parlamenta un Padomes Regulu (ES) 2021/1060 papildina attiecībā uz vienību izmaksu, fiksētas summas maksājumu un vienotu likmju, kā arī finansējuma, kas nav saistīts ar izmaksām, noteikšanu saistībā ar izdevumiem, ko Komisija atmaksā dalībvalstīm (turpmāk – EK Regula Nr. 2023/1676)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 Regula Nr.2023/1676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projekta 18.1.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TA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https://vktap.mk.gov.lv/legal_acts/headers/b88fa93a-fd7e-471c-8f38-f96680b0f5c0/public_participations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tika organizēta no 2025. gada 6. februāra līdz 20. februārim, kuras laikā sabiedrības pārstāvjiem bija iespēja izteikt priekšlikumus TA projekta pilnveidošanai. Sabiedriskās apspriedes rezultātā netika saņemti priekšlikumi vai ierosinājumi TA projekta pilnveidošanai.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netika iesaistītas TA projekta izstrādē, ņemot vērā, ka 4.3.5.1. pasākuma 3. kārta tiek īstenota tiešā sinerģijā ar 4.3.1.5. pasākumu un būs secīgs pasākums jaunizveidoto pakalpojumu finansēšanai 4.3.1.5. pasākuma ietvaros izveidotajā pakalpojumu infrastruktūrā. Nevalstiskais sektors sākotnēji tika iesaistīts 4.3.1.5. pasākuma MK noteikumu izstrādē.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Labklājības ministrija, sadarbības iestādes funkcijas – Centrālā finanšu un līgumu aģentūra. 4.3.5.1. pasākuma 3. kārtas finansējuma saņēmēji – Rīgas un Liepājas valstspilsētas pašvaldības, to izveidoti sociālo pakalpojumu sniedzēji vai sociālo pakalpojumu sniedzēji, kam šīs pašvaldības ir deleģējušas pakalpojumu sniegšanu.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ietvaros tiks veicināta sociālās situācijas uzlabošanās mērķa grupas personām – personām ar ierobežotām spējām sevi aprūpēt, jo viņiem būs iespēja saņemt individuālajām vajadzībām pielāgotus pakalpojumus, nodrošinot iespēju turpināt dzīvot savā mājoklī vai izmitināšanu nelielās grupās. Vienlaikus tiks uzlabota mērķa grupas personu ģimenes locekļu un citu neformālo aprūpētāju situācija un sekmēts darba un ģimenes dzīves līdzsvars, mazinot viņu noslodzi aprūpes nodrošināšanā.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ietvaros tiks īstenotas darbības, kas veicina personu ar invaliditāti vienlīdzīgas iespējas un tiesības,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Vispārīgās HP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projektā tiks īstenots sociāli atbildīgs iepirkums, kur tas ir attiecināms un atbilstošs projekta darbību specifikai, pērkot ētiski ražotus produktus un pakalpojumus un izmantojot publiskās iepirkumu procedūras, lai radītu darbavietas,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tiks nodrošināts, ka informācija projekta vai finansējuma saņēmēja tīmekļa vietnē ir piekļūstama cilvēkiem ar funkcionēšanas ierobežojumiem, izmantojot vairākus sensoros (redze, dzirde, tauste) kanālus (skat. vadlīnijas “Tīmekļvietnes izvērtējums atbilstoši digitālās vides piekļūstamības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Specifiskās HP darbības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īstenoti specifiski atbalsta pasākumi etniskās, reliģiskās piederības vai seksuālās orientācijas diskriminācijas risku novēršanai, lai sekmētu sociālās atstumtības un diskriminācijas riskam pakļauto personu iekļaušanos sabiedrībā un mazinātu sociālo atstumtību;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 klātienes pasākuma norises vietas vides un informācijas piekļūstamība cilvēkiem ar funkcionēšanas ierobežojumiem, nepieciešamības gadījumā nodrošinot tehnisko risinājumu nomu (piemēram, pārvietojamais panduss, pacēlājs, norādes, indukcijas cilpu noma u.c.) un par to tiks informēti pasākuma dalībnieki.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ietvaros tiks īstenotas darbības, kas veicina dzimumu līdztiesību: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sievietēm un vīriešiem tiks nodrošinātas vienlīdzīgas karjeras izaugsmes iespējas, tostarp nodrošinot dalību apmācībās un semināros;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ieviesti nediskriminējoši personāla atlases nosacījumi un prakses, kas veicina mazāk pārstāvētā dzimuma piesaisti, personu ar invaliditāti piesaisti, nediskriminē pēc vecuma, rases, reliģiskās piederības vai seksuālās orientācijas;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ietvaros paredzēts veikt personu datu apstrādi. Personas datu apstrādes nolūks šajā pasākumā ir TA projekta 3. punktā noteiktās mērķa grupas personu individuālo vajadzību izvērtēšanai un SBSP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kārtas mērķa grupas personas SBSP saņemšanas atbilstības pārbaudei ir apstrādājams šāds minimālais personas datu apjoms: vārds, uzvārds, personas kods, kontaktinformācija (telefons vai e-pasta adrese), personas vecums, personas izglītības līmenis, personas dzīvesvietas adrese un fakts, ka persona ir noteikta invaliditāte, noteikts trešais vai ceturtais aprūpes līmenis, ir izsniegts Veselības un darbspēju ekspertīzes ārstu valsts komisijas atzinums par īpašas kopšanas nepieciešamību sakarā ar smagiem funkcionāliem traucējumiem vai ar ārstu konsīlija lēmumu noteikta paliatīvās aprūpes nepieciešamība. Cita veida datus personas identitātes noteikšanai nav paredzēts apstrādāt. Personas vārda un uzvārda un personas koda apstrāde nepieciešama datu subjekta unikālai identifikācijai. Savukārt personas kontakti (telefona vai e-pasta) nepieciešami savstarpējai saziņai ar projektā iesaistīto mērķa grupas personu, kā arī informēšanai par SBSP saņemšanas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personas datu apstrāde veicama, pamatojoties uz Vispārīgās datu aizsardzības regulas 6. panta 1. punkta e) apakšpunktu. Tāpat personas datu (t.i. personas vārds un uzvārds un personas kods) apstrāde veicama, lai uzskaitītu 4.3.5.1. pasākuma 3. kārtas ietvaros atbalstu saņēmušās mērķa grupas personas, jo šajā pasākumā noteiktais uzraudzības rādītājs ir – sociālās atstumtības riskam pakļautas personas, kuras saņēmušas sabiedrībā balstītus sociālos pakalpojumus – 54.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datu apstrāde veicama saskaņā ar Vispārīgas datu aizsardzības regulas 6. panta 1. punkta c) apakšpunktu un atbilstoši TA projekta nosacījumiem. Personas datus un citu informāciju finansējuma saņēmējs izmantos maksājuma pieprasījumu un dalībnieku pārskatu sagatavošanai un iesniegs tos Kohēzijas politikas fondu vadības informācijas sistēmā (KPVIS) atbilstoši MK 2023. gada 21. marta noteikumiem Nr. 135 “Eiropas Savienības fondu projektu pārbaužu veikšanas kārtība 2021.–2027. gada plānošanas periodā” (noteikts MK noteikumu 1. pielikumā). Datu apstrāde un uzkrāšana KPVIS tiks nodrošināta atbilstoši MK 13.12.2022. noteikumiem Nr. 770 “Kārtība, kādā Eiropas Savienības fondu 2021.–2027. gada plānošanas periodā nodrošina ieguldījumu uzraudzību un izvērtēšanu, kā arī izstrādā un uztur Kohēzijas politikas fondu vadības informācijas sistēmu” (turpmāk – MK noteikumi Nr. 770). Nosakot datu glabāšanas termiņus, ir ņemtas vērā normatīvajos aktos noteiktās prasības par dokumentu pieejamību un attaisnojuma dokumentu glabāšanas minimāliem termiņiem. Grāmatvedības likuma 28. panta 5. punkts noteic, ka pārējie attaisnojuma dokumenti glabājami līdz dienai, kad tie nepieciešami, lai izpildītu šī likuma 6. panta otrās daļas prasības par saimnieciskā darījuma norises izsekojamību, bet ne īsāks par pieciem gadiem. KPVIS personas dati atbilstoši MK noteikumu Nr.770 27. punktam glabājami līdz 31.12.2039.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 pasākuma 3. kārtai ir tieša ietekme uz horizontālo principu “Vienlīdzība, iekļaušana, nediskriminācija un pamattiesību ievērošana”. Plānoto 4.3.5.1. pasākuma 3. kārtas projektu ietvaros tiks īstenotas darbības, kas veicina vienlīdzību, iekļaušanu, nediskrimināciju un pamattiesību ievērošanu, kā arī tā īstenošanā tiks īstenoti vispārīgi un specifiski horizontālā principa “Vienlīdzība, iekļaušana, nediskriminācija un pamattiesību ievērošana”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4.3.5.1.pasākuma 3. kārta tiks īstenota ierobežotas projektu iesniegumu atlases veidā. 4.3.5.1. pasākuma 3. kārtas projektu iesniegumu vērtēšanā ir definēts horizontālā principa “Vienlīdzība, iekļaušana, nediskriminācija un pamattiesību ievērošana” specifiskais atbilstības kritērijs (precizējamais kritērijs), par kuru var tikt pieņemts lēmums par projekta iesnieguma apstiprināšanu, vai apstiprināšanu ar nosacījumu, ja projekta iesniedzējs nodrošina pilnīgu atbilstību kritērijam lēmumā noteiktajā termiņā un kārtībā. Kritērija neatbilstības gadījumā projekta iesniegums tiks noraidīts.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25-TA-346</w:t>
    </w:r>
    <w:r>
      <w:br/>
    </w:r>
    <w:r w:rsidR="00000000" w:rsidRPr="00000000" w:rsidDel="00000000">
      <w:rPr>
        <w:rtl w:val="0"/>
      </w:rPr>
      <w:t xml:space="preserve">Izdrukāts 29.07.2026. 23.59 - 3.0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25-TA-346</w:t>
    </w:r>
    <w:r>
      <w:br/>
    </w:r>
    <w:r w:rsidR="00000000" w:rsidRPr="00000000" w:rsidDel="00000000">
      <w:rPr>
        <w:rtl w:val="0"/>
      </w:rPr>
      <w:t xml:space="preserve">Izdrukāts 29.07.2026. 23.59 - 3.0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anotācija_(ex_ante)_25-TA-346.docx</dc:title>
</cp:coreProperties>
</file>

<file path=docProps/custom.xml><?xml version="1.0" encoding="utf-8"?>
<Properties xmlns="http://schemas.openxmlformats.org/officeDocument/2006/custom-properties" xmlns:vt="http://schemas.openxmlformats.org/officeDocument/2006/docPropsVTypes"/>
</file>