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15. novembra noteikumos Nr. 722 "Valsts un Eiropas Savienības atbalsta piešķiršanas kārtība pasākumā "Inovācija, pilotprojekti, sadarbība ar zinātni zvejniecībā, akvakultūrā un apstrādē un zināšanu pārnese akvakultūrā"""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2022. gada 15. novembra noteikumos Nr. 722 "Valsts un Eiropas Savienības atbalsta piešķiršanas kārtība pasākumā "Inovācija, pilotprojekti, sadarbība ar zinātni zvejniecībā, akvakultūrā un apstrādē un zināšanu pārnese akvakultūrā""" (turpmāk – noteikumu projekts) ir sagatavots, pamatojoties uz Lauksaimniecības un lauku attīstības likuma 5. panta ceturto un septīto daļu. Noteikumu projekts paredz grozījumus Ministru kabineta 2022. gada 15. novembra noteikumos Nr. 722 "Valsts un Eiropas Savienības atbalsta piešķiršanas kārtība pasākumā "Inovācija, pilotprojekti, sadarbība ar zinātni zvejniecībā, akvakultūrā un apstrādē un zināšanu pārnese akvakultūrā"" (turpmāk – noteikumi Nr. 722), lai precizētu atbalsta saņemšanas nosacījumus kārtībai, kādā piešķir valsts un Eiropas Savienības atbalstu Eiropas Jūrlietu, zvejniecības un akvakultūras fonda (turpmāk – EJZAF) darbības veidos "Inovācija, pilotprojekti, sadarbība ar zinātni zvejniecībā", "Inovācija, pilotprojekti, sadarbība ar zinātni akvakultūrā", "Inovācija, pilotprojekti, sadarbība ar zinātni apstrādē" un "Zināšanu pārnese".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atbalsta saņemšanas nosacījumus kārtībai, kādā piešķir valsts un Eiropas Savienības atbalstu pasākumā "Inovācija, pilotprojekti, sadarbība ar zinātni zvejniecībā, akvakultūrā un apstrādē un zināšanu pārnese akvakultūrā"", lai vienkāršotu atbalsta saņemšanas un administrēšanas procedūras.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atbilstoši noteikumiem Nr. 722 atbalsts darbības veidos "Inovācija, pilotprojekti, sadarbība ar zinātni zvejniecībā", "Inovācija, pilotprojekti, sadarbība ar zinātni akvakultūrā" un "Inovācija, pilotprojekti, sadarbība ar zinātni apstrādē" tika sniegts, piemērojot vispārējo atbalsta piešķiršanas kārtību atbilstoši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sekmīgāk virzītos uz rezultātu sasniegšanu no izmaksu viedokļa nelielām darbībām, tādējādi veicinot efektīvāku finansējuma piesaisti, atvieglotu administratīvo slogu atbalsta saņēmējam projekta izmaksu uzskaitei un maksājuma pieprasījumu pamatojošās dokumentācijas sagatavošanai un administratīvo slogu projektu izmaksu dokumentācijas pārbaudēs, vienkāršojot projektu faktisko izmaksu uzskaiti un pārejot no finanšu dokumentu pārbaudes uz sasniegto rezultātu pārbaudi, kā arī samazinātu kļūdu rašanās iespēju izmaksu pamatojošās dokumentācijas pārbaudēs, noteikumu projekts paredz ieviest fiksētas summas maksājumu ar budžeta projekta aprēķina metodi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53. panta 1. punkta "c" apakšpunktu un 3. punkta "b" apakšpunktu projektiem ar attiecināmo izmaksu kopsummu līdz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finanšu līdzekļu efektīvāku administrēšanu un mazinātu administratīvo slogu Programmas zivsaimniecības attīstībai 2021.–2027. gadam (turpmāk – PZA 2021–2027) īstenošanā, PZA 2021–2027 1. prioritātes "Veicināt ilgtspējīgu zvejniecību un ūdeņu bioloģisko resursu atjaunošanu un saglabāšanu" darbības veidā "Inovācija, pilotprojekti, sadarbība ar zinātni zvejniecībā" un 2. prioritātes "Veicināt ilgtspējīgas akvakultūras darbības un zvejas un akvakultūras produktu apstrādi un tirdzniecību, tādējādi sekmējot pārtikas nodrošinājumu Savienībā" darbības veidos "Inovācija, pilotprojekti, sadarbība ar zinātni akvakultūrā" un "Inovācija, pilotprojekti, sadarbība ar zinātni apstrādē" nepieciešams vienkāršot atbalsta administrēšanas procedūras.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Rīcības programmu zivsaimniecības attīstībai 2014.–2020. gadam (turpmāk – RP 2014–2020) tika īstenots pasākums "Inovācija", kas pēc būtības ir identisks saskaņā ar PZA 2021–2027 īstenotajiem iepriekšminētajiem darbības veidiem, tika izvērtēta abu plānošanas periodu pieredze un analizētas īstenoto un apstiprināto projektu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RP 2014–2020 plānošanas perioda pieredzi, īstenotos projektus un izdevumu veidus (salīdzinoši nelielu projektu kopu), kā arī ievērojot to, ka iepriekšminētajos darbības veidu projektos paveikto darbību amplitūdu veido salīdzinoši nelielas, specifiskas un atšķirīgas izmaksas, nepieciešams vienkāršot atbalsta saņemšanu un procesu administrēšanu, tāpēc, izvērtējot visas vienkāršoto izmaksu iespējas, atbalsta ieviešanā tika izvēlēts vienkāršoto izmaksu veids – fiksētas summas maksājumu ar budžeta projekta aprēķina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578 papildināti ar 20.</w:t>
      </w:r>
      <w:r w:rsidR="00000000" w:rsidRPr="00000000" w:rsidDel="00000000">
        <w:rPr>
          <w:vertAlign w:val="superscript"/>
          <w:rtl w:val="0"/>
        </w:rPr>
        <w:t xml:space="preserve">1</w:t>
      </w:r>
      <w:r w:rsidR="00000000" w:rsidRPr="00000000" w:rsidDel="00000000">
        <w:rPr>
          <w:rtl w:val="0"/>
        </w:rPr>
        <w:t xml:space="preserve"> punktu, kas noteic, ka saskaņā ar regulas 2021/1060 53. panta 3. punkta "b" apakšpunktu atbalstu projektiem ar attiecināmo izmaksu kopsummu līdz 200 000 </w:t>
      </w:r>
      <w:r w:rsidR="00000000" w:rsidRPr="00000000" w:rsidDel="00000000">
        <w:rPr>
          <w:i w:val="1"/>
          <w:rtl w:val="0"/>
        </w:rPr>
        <w:t xml:space="preserve">euro</w:t>
      </w:r>
      <w:r w:rsidR="00000000" w:rsidRPr="00000000" w:rsidDel="00000000">
        <w:rPr>
          <w:rtl w:val="0"/>
        </w:rPr>
        <w:t xml:space="preserve"> piešķir, izmantojot fiksētas summas maksājumu ar budžeta projekta aprēķina metodi. Savukārt 20.</w:t>
      </w:r>
      <w:r w:rsidR="00000000" w:rsidRPr="00000000" w:rsidDel="00000000">
        <w:rPr>
          <w:vertAlign w:val="superscript"/>
          <w:rtl w:val="0"/>
        </w:rPr>
        <w:t xml:space="preserve">2</w:t>
      </w:r>
      <w:r w:rsidR="00000000" w:rsidRPr="00000000" w:rsidDel="00000000">
        <w:rPr>
          <w:rtl w:val="0"/>
        </w:rPr>
        <w:t xml:space="preserve"> punktā noteikti atbalsta saņemšanas nosacījumi, ja tiek īstenots budžeta projekts, bet ar 20.</w:t>
      </w:r>
      <w:r w:rsidR="00000000" w:rsidRPr="00000000" w:rsidDel="00000000">
        <w:rPr>
          <w:vertAlign w:val="superscript"/>
          <w:rtl w:val="0"/>
        </w:rPr>
        <w:t xml:space="preserve">3</w:t>
      </w:r>
      <w:r w:rsidR="00000000" w:rsidRPr="00000000" w:rsidDel="00000000">
        <w:rPr>
          <w:rtl w:val="0"/>
        </w:rPr>
        <w:t xml:space="preserve"> punktu tiek sniegta informācija par Lauku atbalsta dienesta darbībām pirms budžeta projekta iesnieguma apstiprināšanas. 66.</w:t>
      </w:r>
      <w:r w:rsidR="00000000" w:rsidRPr="00000000" w:rsidDel="00000000">
        <w:rPr>
          <w:vertAlign w:val="superscript"/>
          <w:rtl w:val="0"/>
        </w:rPr>
        <w:t xml:space="preserve">1</w:t>
      </w:r>
      <w:r w:rsidR="00000000" w:rsidRPr="00000000" w:rsidDel="00000000">
        <w:rPr>
          <w:rtl w:val="0"/>
        </w:rPr>
        <w:t xml:space="preserve"> punktā noteikts budžeta projekta pabeigšanas brīdis, pēc kura Lauku atbalsta dienests izmaksā gala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noteikumi Nr. 722 papildināti ar 50.1.2.8.</w:t>
      </w:r>
      <w:r w:rsidR="00000000" w:rsidRPr="00000000" w:rsidDel="00000000">
        <w:rPr>
          <w:vertAlign w:val="superscript"/>
          <w:rtl w:val="0"/>
        </w:rPr>
        <w:t xml:space="preserve">1</w:t>
      </w:r>
      <w:r w:rsidR="00000000" w:rsidRPr="00000000" w:rsidDel="00000000">
        <w:rPr>
          <w:rtl w:val="0"/>
        </w:rPr>
        <w:t xml:space="preserve"> apakšpunktu un redakcionāli precizēts 61.1. un 61.3. apakšpunkts, kā arī 62. un 66. punkts, jo minētais nosacījums turpmāk attieksies uz projektiem ar attiecināmo izmaksu kopsummu virs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atlases kritērijus bieži vien nepieciešams pārskatīt vai pielāgot konkrētā atbalsta pasākuma projektu iesniegumu pieņemšanas 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grozītu projektu atlases kritērijus, atbilstoši regulai 2021/1060 tie jāapstiprina PZA 2021–2027 uzraudzības komitejā, kas izveidota saskaņā ar normatīvajiem aktiem par kārtību, kādā administrē un uzrauga Eiropas Jūrlietu, zvejniecības un akvakultūras fondu, kā arī valsts atbalstu zvejniecības un akvakultūras attīstībai 2021.–2027. gada plānošanas periodā. Pēc uzraudzības komitejas lēmuma tiek virzīti grozījumi konkrētajos Ministru kabineta noteikumos par atbalsta piešķiršanu, ietverot pārskatīto projektu atlases kritēriju pielikumu. Šāda pieeja rada administratīvo slogu iesaistītajām iestādēm un kavē projektu pieņemšanas uzsākšanu.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7. marta noteikumu Nr. 113 "Valsts un Eiropas Savienības atbalsta piešķiršanas, administrēšanas un uzraudzības vispārējā kārtība lauku un zivsaimniecības attīstībai" (turpmāk - noteikumi Nr. 113) 14.2. apakšpunktu atbilstošos zivsaimniecības attīstības projektu iesniegumus sarindo dilstošā secībā, ņemot vērā punktu skaitu projektu atlases kritērijos, kurus atbilstoši regulas 2021/1060 40. panta 2. punkta "a" apakšpunktam apstiprinājusi uzraudzības komiteja. Visi Uzraudzības komitejas lēmumi ir publiski pieejami Zemkopības ministrijas tīmekļvietnē, tāpēc arī projektu atlases kritēriji ir publiski pieejami un zināmi atbalsta pretendentiem pirms katras projektu iesniegumu pieņemšanas kārtas un nav nepieciešamības tos iekļaut attiecīgajos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Nr. 722 7. punkts, svītrots 50.1.2.15. un 57.3.8. apakšpunkts, kā arī 1. un 2.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atvieglot un vienkāršot publiskā finansējuma pieprasīšanas nosacījumus noteikumos Nr. 722 minētajā apakšpasākumā "Zināšanu pārnese akvakultūrā", mazinot birokrātisko un administratīvo slogu, piemēram, turpmāk neprasot iesniegt darbalaika uzskaites tabulas.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722 67. punkts un svītrots 68.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atlīdzības noteikšanas kārtību gadījumos, kad atbalsta pretendents ir biedrība, kas īsteno projektu sadarbībā ar zinātnisko institūciju.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722 34.1.1. apakšpunkts, paredzot, ka atlīdzība tiek noteikta līdzvērtīga tai, kāda ir zinātniskās institūcijas projektā nodarbinātajiem.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ministrijas izteikto iebildumu, ka attiecīgais pasākums ir jāvērtē komercdarbības atbalsta kontekstā, tostarp, vai atbalsta pretendents, kas ir zinātniskā institūcija, atbilst pētniecības un zināšanu izplatīšanas organizācijas definīcijai atbilstoši tam, kā tas noteikts Komisijas paziņojuma "Pētniecībai, izstrādei un inovācijai piešķiramā valsts atbalsta nostādnes" (2022/C 414/01) (turpmāk – Pētniecības pamatnostādnes) 16. punkta "ff" apakšpunktā, un vai tās veiktās darbības būtu uzskatāmas par darbībām bez saimnieciska rakstura atbilstoši Pētniecības pamatnostādņu 20. punkta "iii" apakšpunktā noteiktajam, un tādējādi publisko līdzekļu piešķiršana tām nekvalificētos kā komercdarbības atbalsts, kā arī panākto vienošanos 14. oktobra tiešsaistes sanāksmē, noteikumi Nr. 722 jāpapildina ar jauniem punktiem.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722 papildināti ar 9.</w:t>
      </w:r>
      <w:r w:rsidR="00000000" w:rsidRPr="00000000" w:rsidDel="00000000">
        <w:rPr>
          <w:vertAlign w:val="superscript"/>
          <w:rtl w:val="0"/>
        </w:rPr>
        <w:t xml:space="preserve">1</w:t>
      </w:r>
      <w:r w:rsidR="00000000" w:rsidRPr="00000000" w:rsidDel="00000000">
        <w:rPr>
          <w:rtl w:val="0"/>
        </w:rPr>
        <w:t xml:space="preserve"> un 46.</w:t>
      </w:r>
      <w:r w:rsidR="00000000" w:rsidRPr="00000000" w:rsidDel="00000000">
        <w:rPr>
          <w:vertAlign w:val="superscript"/>
          <w:rtl w:val="0"/>
        </w:rPr>
        <w:t xml:space="preserve">1</w:t>
      </w:r>
      <w:r w:rsidR="00000000" w:rsidRPr="00000000" w:rsidDel="00000000">
        <w:rPr>
          <w:rtl w:val="0"/>
        </w:rPr>
        <w:t xml:space="preserve"> punktu, kā arī precizēts 60. punkts atbilstoši Pētniecības pamatnostādnēm. Lauku atbalsta dienests iepriekšminētajos punktos noteikto nosacījumu izpildi projektos vērtē atbilstoši šajos MK noteikumos  un normatīvajos aktos par valsts un Eiropas Savienības atbalsta piešķiršanas, administrēšanas un uzraudzības vispārējo kārtību lauku un zivsaimniecības attīstībai noteiktajai kārtībai.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(ES) 2021. gada 24. 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(ES) 2021. gada 24. 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53. panta 1. punkta "c" apakšpunkts un 3.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 (noteikumu Nr. 722 20.</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dalībvalsts rīcības brīvību.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instrukcijai Nr. 1 "Kārtība, kādā valsts pārvaldes iestādes sniedz informāciju par tehnisko noteikumu projektu" 4.1. 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https://tapportals.mk.gov.lv/public_participation/6eeaddf0-849a-4b12-9bf9-eab3acbed70b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informētu sabiedrību par noteikumu projektu un dotu iespēju izteikt viedokli, noteikumu projekts un tā anotācija no 2025. gada 13. līdz 27. augustam bija pieejami sabiedriskajai apspriešanai Vienotajā tiesību aktu projektu izstrādes un saskaņošanas portālā. Par publiskajā apspriešanā nodoto noteikumu projektu nav saņemti ne iebildumi, ne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Piešķirot atbalstu projektiem ar attiecināmo izmaksu kopsummu līdz 200 000 </w:t>
            </w:r>
            <w:r w:rsidR="00000000" w:rsidRPr="00000000" w:rsidDel="00000000">
              <w:rPr>
                <w:sz w:val="24"/>
                <w:i w:val="1"/>
                <w:rtl w:val="0"/>
              </w:rPr>
              <w:t xml:space="preserve">euro</w:t>
            </w:r>
            <w:r w:rsidR="00000000" w:rsidRPr="00000000" w:rsidDel="00000000">
              <w:rPr>
                <w:sz w:val="24"/>
                <w:rtl w:val="0"/>
              </w:rPr>
              <w:t xml:space="preserve"> un izmantojot fiksētas summas maksājumu ar budžeta projekta aprēķina metodi, tiek vienkāršota atbalsta saņemšana un procesu administrēšana.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25-TA-1767</w:t>
    </w:r>
    <w:r>
      <w:br/>
    </w:r>
    <w:r w:rsidR="00000000" w:rsidRPr="00000000" w:rsidDel="00000000">
      <w:rPr>
        <w:rtl w:val="0"/>
      </w:rPr>
      <w:t xml:space="preserve">Izdrukāts 29.07.2026. 22.56 - 5.0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25-TA-1767</w:t>
    </w:r>
    <w:r>
      <w:br/>
    </w:r>
    <w:r w:rsidR="00000000" w:rsidRPr="00000000" w:rsidDel="00000000">
      <w:rPr>
        <w:rtl w:val="0"/>
      </w:rPr>
      <w:t xml:space="preserve">Izdrukāts 29.07.2026. 22.56 - 5.0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anotācija_(ex_ante)_25-TA-1767.docx</dc:title>
</cp:coreProperties>
</file>

<file path=docProps/custom.xml><?xml version="1.0" encoding="utf-8"?>
<Properties xmlns="http://schemas.openxmlformats.org/officeDocument/2006/custom-properties" xmlns:vt="http://schemas.openxmlformats.org/officeDocument/2006/docPropsVTypes"/>
</file>