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27. oktobra noteikumos Nr. 1227 "Noteikumi par regulējamiem sabiedrisko pakalpojumu veidiem""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2018.gada 11.decembra direktīvas Nr.2018/1972/ES par Eiropas Elektronisko sakaru kodeksa izveidi (pārstrādāta redakcija) (turpmāk arī– Direktīva)124.pants.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(turpmāk-ESL) Pārejas noteikumu 2.punkta 20.apakšpunkts – Ministru kabinets divu mēnešu laikā no šā likuma spēkā stāšanās dienas izdod šajā likumā paredzētos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ESL, nepieciešams izdarīt grozījumus Ministru kabineta 2009.gada 27.oktobra noteikumos Nr.1227 “Noteikumi par regulējamiem sabiedrisko pakalpojumu veidiem” (turpmāk – Noteikumi Nr.1227), lai tajos noteiktie regulējamie elektronisko sakaru nozares pakalpojumu veidi atbilstu ESL un Direktīvai.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elektronisko sakaru nozares pakalpojumu regulējumu, nodrošinot atbilstību ESL, kas 2020.gada 10.septembrī ir izsludināts Valsts sekretāru sanāksmē (VSS-765) un 2021.gada 8.jūlijā izskatīts Valsts sekretāru sanāksmē (TA-1392, Prot. Nr.26,31§) un kas izstrādāts, pamatojoties uz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sabiedrisko pakalpojumu regulatoriem” 2. panta ceturtajā daļā noteikts, ka to sabiedrisko pakalpojumu veidus, kuru sniegšanu nepieciešams regulēt, regulējamās nozarēs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Nr.1127 nosaka to sabiedrisko pakalpojumu veidus regulējamās nozarēs, kuru sniegšanu nepieciešams regulēt, tajā skaitā tos sabiedrisko pakalpojumu veidus, kurus nepieciešams regulēt elektronisko sakaru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nozarē ir jāievieš Direktīva, kas attiecas arī uz elektronisko sakaru nozarē regulējamiem pakalpojumu veidiem. Līdz ar to Noteikumos Nr.1127 ir nepieciešams veikt grozījumus, lai nodrošinātu regulējamo sabiedrisko pakalpojumu veidu atbilstību Direktīvai un ESL.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Nr.1127 kā regulējamais pakalpojumu veids ir saglabāts nomāto līniju pakalpojums, kas ietverts Noteikumu projekta 6.9.apakšpunktā.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Nr.1227 ir saglabāti tālāk minētie regulējamo elektronisko sakaru pakalpojumu veidi, pielāgojot to definējumu atbilstoši Direktīvai un ESL, lai nodrošinātu vienotu izpratni par normatīvajos aktos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14.apsvērums noteic, ka būtu lietojams tagad vairāk izmantotais tehnoloģiski neitrālais apzīmējums “balss sakaru pakalpojums”. Līdz ar to, lai nodrošinātu tehnoloģiski neitrālu apzīmējumu atbilstoši Direktīvā un ESL noteiktajam, Noteikumu projektā apzīmējums “balss telefonijas pakalpojums” aizstājams ar apzīmējumu “balss sakaru pakalpojums”, kas ietverts Noteikumu projekta 6.1.apakšpunktā.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publisko datu un elektronisko ziņojumu pārraides pakalpojumi ir izdalāmi atsevišķi, paredzot, ka regulējams ir īsziņu pakalpojums, kas ietverts Noteikumu projekta 6.2.apakšpunktā, un datu pārraides pakalpojums, kas ietverts Noteikumu projekta 6.4.apakšpunktā. Jāņem vērā, ka atbilstoši Direktīvā noteiktajam, īsziņu pakalpojums ir attiecināms uz starppersonu sakaru pakalpojumu, savukārt datu pārraides pakalpojums neietilpst starppersonu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apzīmējums “publiskais interneta piekļuves pakalpojums” aizstājams ar apzīmējumu “interneta piekļuves pakalpojums”, kas iekļauts Noteikumu projekta 6.3.apakšpunktā, tādējādi novēršot dažādas terminoloģijas lietošanu vairākos normatīvajos aktos par vienu un to pašu jēdzienu un nodrošinot to atbilstību Direktīvai un ESL.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Direktīvas 2.panta 4.punktā noteikta piemērojamā definīcija apzīmējumam “interneta piekļuves pakalpojums” – atbilstoši  Eiropas Parlamenta un Padomes 2015.gada 25.novembra regulas (ES) 2015/2120 ar ko nosaka pasākumus sakarā ar piekļuvi atvērtam internetam un groza Direktīvu 2002/22/EK par universālo pakalpojumu un lietotāju tiesībām attiecībā uz elektronisko sakaru tīkliem un pakalpojumiem un Regulu (ES) Nr. 531/2012 par viesabonēšanu publiskajos mobilo sakaru tīklos Savienībā 2. panta otrās daļas 2.punktā noteiktajam definējumam, proti, tas ir publiski pieejams elektronisko sakaru pakalpojums, kas nodrošina piekļuvi internetam un tādējādi savienojamību ar praktiski visiem interneta galapunktiem neatkarīgi no izmantotās tīkla tehnoloģijas un galiekārtas.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nošķirt radio vai televīzijas programmu izplatīšanas pakalpojumus publiskajos elektronisko sakaru tīklos divos atsevišķos pakalpojumos, proti, noteikt, ka regulējams ir “radio programmu izplatīšanas pakalpojums”, kas ietverams Noteikumu projekta 6.5.apakšpunktā un “televīzijas programmu izplatīšanas pakalpojums”, kas ietverams Noteikumu projekta 6.6.apakšpunktā. Jāņem vērā, ka minētie pakalpojumi ir attīstījušies kā divi dažādi (neatkarīgi) sniedzami pakalpojumi. Proti, nav uzskatāms, ka gadījumā, ja elektronisko sakaru komersants sniedz radio programmu izplatīšanas pakalpojumu, tas nodrošina arī televīzijas programmu izplatīšanas pakalpojumu vai otrādi.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apzīmējums “piekļuves pakalpojumi” ir aizstājams ar apzīmējumu “piekļuve”, ietverot to Noteikumu projekta 6.7.apakšpunktā, tādējādi novēršot dažādas terminoloģijas lietošanu vairākos normatīvajos aktos par vienu un to pašu jēdzienu un nodrošinot tā atbilstību Direktīvai un ESL. Jāņem vērā, ka saskaņā ar ESL noteikto definējumu piekļuve ir definēta kā citam elektronisko sakaru komersantam sniegts pakalpojums, tātad pēc būtības tā ietver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apzīmējums “starpsavienojuma pakalpojumi” ir aizstājams ar “starpsavienojums”, iekļaujot to Noteikumu projekta 6.8.apakšpunktā, tādējādi novēršot dažādas terminoloģijas lietošanu dažādos normatīvajos aktos par vienu un to pašu jēdzienu un nodrošinot tā atbilstību Direktīvai un ESL.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iekļauts publiskais taksofonu pakalpojums. Jāņem vērā, ka balss sakaru pakalpojums ietver arī taksofona pakalpojumu. Turklāt jāņem vērā, ka neviens no reģistrētajiem elektronisko sakaru komersantiem nav norādījis publisko taksofonu pakalpojumu pie sniedzamajiem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 pozitīva tiesiskā regulējuma ietekme uz elektronisko sakaru nozares komersantiem, jo tiks precizēts normatīvais regulējums, nodrošinot atbilstību ESL un Direktīvai.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21-TA-473</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21-TA-473</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anotācija_(ex_ante)_21-TA-473.docx</dc:title>
</cp:coreProperties>
</file>

<file path=docProps/custom.xml><?xml version="1.0" encoding="utf-8"?>
<Properties xmlns="http://schemas.openxmlformats.org/officeDocument/2006/custom-properties" xmlns:vt="http://schemas.openxmlformats.org/officeDocument/2006/docPropsVTypes"/>
</file>