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2015. gada 9. jūnija noteikumos Nr. 294 "Noteikumi par Latvijas būvnormatīvu LBN 261-15 "Ēku iekšējā elektroinstalācija"""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 2022. gada 15. jūlijā ir sniegusi Latvijai argumentētu atzinumu saskaņā ar Līguma par Eiropas Savienības darbību 258. pantu, par to, ka nav darīti zināmi pasākumi, ar kuriem valsts tiesību aktos transponēta Eiropas Parlamenta un Padomes 2018. gada 30. maija Direktīva (ES) 2018/844, ar ko groza Direktīvu 2010/31/ES par ēku energoefektivitāti un Direktīvu 2012/27/ES par energoefektivitāti (OV L 156, 19.6.2018., 75.–91. lpp.).</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Latvijas būvnormatīvā LBN 261-15 "Ēku iekšējā elektroinstalācija" ietverto regulējumu par elektromobilitāti, lai nodrošinātu atbilstību Eiropas Parlamenta un Padomes 2010. gada 19. maija Direktīvai 2010/31/ES par ēku energoefektivitāti (pārstrādāta versija) (turpmāk - Direktīva) un 2018. gada 30. maija Direktīvai 2018/884, ar ko groza Direktīvu 2010/31/ES par ēku energoefektivitāti un Direktīvu 2012/27/ES par energoefektivitāti.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 15.07.2022. argumentētajā atzinumā saskaņā ar Līguma par Eiropas Savienības darbību 258. pantu, ir norādījusi, ka nav darīti zināmi pasākumi, ar kuriem valsts tiesību aktos transponēta Eiropas Parlamenta un Padomes 2018. gada 30. maija Direktīva (ES) 2018/844, ar ko groza Direktīvu 2010/31/ES par ēku energoefektivitāti un Direktīvu 2012/27/ES par energoefektivitāti (OV L 156, 19.6.2018., 75.–91. lpp.) (turpmāk - EK atzinums).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 atzinuma 7. punktā ir norādīts, ka "Direktīvas 2010/31/ES 8. panta 2. punkts, kas aizstāts ar Direktīvas (ES) 2018/844 1. panta 5. punktu, par uzlādes punktu uzstādīšanu jaunās nedzīvojamās ēkās un nedzīvojamās ēkās, kurās veic plašāku remontu, ar vairāk nekā desmit stāvvietām un par cauruļvadu infrastruktūru vismaz vienai no piecām stāvvietām, ja stāvlaukums atrodas ēkas iekšienē vai tai fiziski blakus. Ministru kabineta noteikumu Nr. 387 “Noteikumi par Latvijas būvnormatīvu LBN 208-15 “Publiskas būves”” (MNE(2020) 56606) 2. punktā ir paredzēti uzlādes punkti “publiskās ēkās”, bet 8. punkta 2. apakšpunkts attiecas uz pienākumiem, kas saistīti ar nedzīvojamām ēkām. Šādos apstākļos, tā kā nav atbilstības tabulas vai citas norādes, kas izskaidrotu, kur šis noteikums ir transponēts Latvijas tiesību aktos, Komisija uzskata, ka tas nav transponēts." Norādāms, ka Ministru kabineta 2015. gada 30. jūnija noteikumi Nr. 387 “Noteikumi par Latvijas būvnormatīvu LBN 208-15 "Publiskas būves" vairs nav spēkā un tajā ietvertais regulējums par elektromobilitāti ir pārcelts uz Latvijas būvnormatīvu LBN 261-15 "Ēku iekšējā elektroinstalācija".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Latvijas būvnormatīva LBN 261-15 "Ēku iekšējā elektroinstalācija" III</w:t>
      </w:r>
      <w:r w:rsidR="00000000" w:rsidRPr="00000000" w:rsidDel="00000000">
        <w:rPr>
          <w:vertAlign w:val="superscript"/>
          <w:rtl w:val="0"/>
        </w:rPr>
        <w:t xml:space="preserve">1</w:t>
      </w:r>
      <w:r w:rsidR="00000000" w:rsidRPr="00000000" w:rsidDel="00000000">
        <w:rPr>
          <w:rtl w:val="0"/>
        </w:rPr>
        <w:t xml:space="preserve"> nodaļas atbilstību Eiropas Parlamenta un Padomes Direktīva 2010/31/ES (2010. gada 19. maijs) par ēku energoefektivitāti (pārstrādāta versija) 8. panta 2. un 5.punkta prasībām, tika secināts, ka esošais regulējums neattiecas uz dzīvojamām ēkām, taču atbilstoši Direktīvas prasībām tādam jābūt. Papildus secināts, ka Direktīvas prasības nav ievērotas, jo minētais būvnormatīvs līdz šim paredzēja regulējumu tikai publiskām būvēm, savukārt Direktīvas prasības attiecas uz visām nedzīvojamām ēkām. Publiskas būves kā nedzīvojamo ēku atsevišķa veida definīcija ietverta Ministru kabineta 2021. gada 19. oktobra noteikumos Nr. 693 “Būvju vispārīgo prasību būvnormatīvs LBN 200-21” 3. punkta 3.28. apakšpunktā, proti,  publiska būve ir ēka, kurā vairāk nekā 50 % ēkas kopējās platības ir publiskas telpas vai telpas publiskas funkcijas nodrošināšanai, vai inženierbūve, kura paredzēta publiskai lietošanai (piemēram, estrādes, stadioni). Dzīvojamo un nedzīvojamo ēku veidu klasifikācija ir ietverta Ministru kabineta 2018. gada 12. jūnija noteikumos Nr. 326 “Būvju klasifikācijas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atceļot Ministru kabineta 2015. gada 30. jūnija noteikumus Nr. 340 “Noteikumi par Latvijas būvnormatīvu LBN 211-15 "Dzīvojamās ēkas" (turpmāk - Latvijas būvnormatīvs LBN 211-15 "Dzīvojamās ēkas"), uz Latvijas būvnormatīvu LBN 261-15 "Ēku iekšējā elektroinstalācija" netika pārcelts Latvijas būvnormatīva LBN 211-15 "Dzīvojamās ēkas" 58.5. apakšpunktā ietvertais regulējums par uzlādes punktiem, kas bija tieši saistīts ar Direktīvas prasību pārņemšanu.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ar noteikumu projektu Latvijas būvnormatīvu LBN 261-15 "Ēku iekšējā elektroinstalācija" III</w:t>
      </w:r>
      <w:r w:rsidR="00000000" w:rsidRPr="00000000" w:rsidDel="00000000">
        <w:rPr>
          <w:vertAlign w:val="superscript"/>
          <w:rtl w:val="0"/>
        </w:rPr>
        <w:t xml:space="preserve">1</w:t>
      </w:r>
      <w:r w:rsidR="00000000" w:rsidRPr="00000000" w:rsidDel="00000000">
        <w:rPr>
          <w:rtl w:val="0"/>
        </w:rPr>
        <w:t xml:space="preserve"> nodaļa tiek izdota jaunā redakcijā, korekti pārņemot Eiropas Parlamenta un Padomes Direktīva 2010/31/ES (2010. gada 19. maijs) par ēku energoefektivitāti (pārstrādāta versija) 8. panta 2. un 5. punkta prasības, ietverot regulējumu attiecībā uz visām nedzīvojamām un dzīvojamām ēkām.Vienlaikus norādāms, ka prasības par uzlādes punktu un elektrības kabeļu daudzumu izbūvi konkrētajā ēku kategorijā (nedzīvojamās un dzīvojamās ēkās) pēc būtības nav mainījušās.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Skaidrības labad jānorāda, ka Direktīvas 8. panta 2. punktā ir teikts – “[..] ar vairāk nekā desmit stāvvietām, dalībvalstis nodrošina, ka tiek ierīkots vismaz viens uzlādes punkts Eiropas Parlamenta un Padomes Direktīvas 2014/94/ES (*3) nozīmē un kabeļkanālu infrastruktūra, t. i., elektrības kabeļiem paredzēti kanāli, vismaz katrai piektajai stāvvietai [..]”. Savukārt Direktīvas 8. panta 5. punktā ir noteikts, ka “[..] ar vairāk nekā desmit stāvvietām, dalībvalstis nodrošina, ka katrai stāvvietai tiek ierīkota kabeļkanālu infrastruktūra, t. i., elektrības kabeļiem paredzēti kanāli, vismaz katrai piektajai stāvvietai [..]”. Tātad dzīvojamo māju gadījumā netiek prasīta vismaz viena uzlāde, bet tiek prasīta elektrības kabeļu kanāli visām stāvvietām. Nedzīvojamo ēku gadījumā tiek prasīta viena uzlāde, bet elektrības kabeļu kanāli tikai katrai piektajai.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Direktīvas 2. panta 10. punktā ietvertā definīcija “nozīmīga atjaunošana” jau ir pārņemta ar Ministru kabineta 2019. gada 25. jūnija noteikumiem Nr. 280 “Noteikumi par Latvijas būvnormatīvu LBN 002-19 “Ēku norobežojošo konstrukciju siltumtehnika”” 9., 12. punktu un pielikuma 2. tabulu, paredzot 25% ēkas būves elementu kopējo laukuma virsmu kā robežvērtību nozīmīgai atjaunošanai Direktīvas izpratnē, bet Latvijas gadījumā – jēdzienu “ atjaunošana vai pārbūve” izpratnē un ar to saistītām prasībām. Attiecīgi noteikumu projekts paredz, ka uzlādes punktu un elektrības kabeļu kanālu ierīkošana ēkas atjaunošanas vai pārbūves gadījumā ir obligāta, ja atjaunošana vai pārbūve skar vismaz 25 % no ēkas būves elementu kopējās laukuma virsmas un automašīnu stāvvietas atrodas ēkas iekšienē un atjaunošana vai pārbūve ietver automašīnu stāvvietas vai ēkas, vai automašīnu stāvvietu elektroinstalāciju.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tāpat kā Direktīva atsevišķi izdala jaunas ēkas būvniecības un esošas ēkas atjaunošanu vai pārbūvi, ar to skaidri saprotot, ka atjaunošanas vai pārbūves gadījumā autostāvvietas jau ir iepriekš tikušas izbūvētas. Noteikumu projekta lietotā terminoloģija atbilst Direktīvas formulējumiem.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ka elektrotransportlīdzekļu uzlādes punktu tehniskās prasības pašreiz ir arī noteiktas Ministru kabineta 2018. gada 6. februāra noteikumos Nr. 78 “Prasības elektrotransportlīdzekļu uzlādes, dabasgāzes uzpildes, ūdeņraža uzpildes un krasta elektropadeves iekārtām”. Minētie noteikumi nesatur regulējumu gadījumiem, kuros ir nepieciešams obligātā kārtā izbūvēt attiecīgo uzlādes punktu, bet kādas ir pašas izbūves prasības. Papildus norādāms, ka šobrīd izstrādē ir likumprojekts ”Transporta enerģijas likums”, kas, cita starpā, definēs un regulēs elektrotransportlīdzekļu uzlādes iespējas un prasības.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Dzīvojamo un nedzīvojamo ēku īpašnieki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Dzīvojamo ēku īpašniekiem jaunas dzīvojamās ēkas būvniecības vai esošas dzīvojamās ēkas pārbūves gadījumā, paredzot būvprojektā vairāk nekā desmit autostāvvietas automašīnu stāvvietas un tās atradīsies ēkas iekšienē vai arī tās atradīsies fiziski blakus ēkai (un pārbūves gadījumā pārbūves pasākumi ietvers automašīnu stāvvietas vai ēkas elektroinfrastruktūru), katrai stāvvietai būs jāparedz nepieciešamo kabeļu kanālu infrastruktūra, proti, elektrības kabeļiem paredzētus kanālus.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Nedzīvojamo ēku īpašniekiem jaunas nedzīvojamās ēkas būvniecības vai esošas nedzīvojamās ēkas pārbūves gadījumā, paredzot būvprojektā vairāk nekā desmit autostāvvietas un tās atradīsies ēkas iekšienē vai arī tās atradīsies fiziski blakus ēkai (un pārbūves gadījumā pārbūves pasākumi ietvers automašīnu stāvvietas vai ēkas elektroinfrastruktūru), vienai no šīm autostāvvietām paredz uzlādes punktu un vismaz katrai piektajai stāvvietai nepieciešamo kabeļu kanālu infrastruktūru, proti, elektrības kabeļiem paredzētus kanālus.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Dzīvojamo un nedzīvojamo ēku īpašnieki (būvniecības ierosinātāji), projektētāji, būvdarbu veicēji.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ietekmēs dzīvojamo un nedzīvojamo ēku īpašniekus (būvniecības ierosinātājus), jo tiem būs jānodrošina dzīvojamo ēku elektromobilitātes prasību izpilde un attiecīgs finansējums, savukārt projektētājiem prasības būs jāievēro, izstrādājot būvniecības ieceres dokumentāciju dzīvojamās ēkas būvniecības vai pārbūves gadījumā, bet būvdarbu veicējiem – īstenojot būvniecības ieceri.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ietekmēs dzīvojamo ēku īpašniekus (būvniecības ierosinātājus), jo tiem būs jānodrošina dzīvojamo ēku elektromobilitātes prasību izpilde un attiecīgs finansējums, savukārt projektētājiem prasības būs jāievēro, izstrādājot būvniecības ieceres dokumentāciju dzīvojamās ēkas būvniecības vai pārbūves gadījumā, bet būvdarbu veicējiem – īstenojot būvniecības ieceri.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607"/>
        <w:gridCol w:w="1607"/>
        <w:gridCol w:w="1607"/>
        <w:gridCol w:w="1607"/>
        <w:gridCol w:w="1607"/>
        <w:gridCol w:w="1607"/>
        <w:tblGridChange w:id="0">
          <w:tblGrid>
            <w:gridCol w:w="1607"/>
            <w:gridCol w:w="1607"/>
            <w:gridCol w:w="1607"/>
            <w:gridCol w:w="1607"/>
            <w:gridCol w:w="1607"/>
            <w:gridCol w:w="1607"/>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ietekmē?</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Izmaksas par vienību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Vienību skaits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Atbilstības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Fiziskās personas</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 (fiziskās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690,00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Dzīvojamo un nedzīvojamo ēku īpašnieki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690,00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Uzlādes stacija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Vienību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690,00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Atbilstības izmaksas Noteikumu projektā paredzēto prasību izpildei nav iespējams precīzi aprēķināt, jo tās ir atkarīgas no katrai konkrētajai dzīvojamajai ēkai ierīkojamo automašīnu stāvvietu skaita, no kā attiecīgi izrietēs nepieciešamība ierīkot kanālus elektrības kabeļiem.
Kanālu izveide elektrības kabeļiem turpmākai elektrotransportlīdzekļu uzlādes punktu uzstādīšanas iespējai būvniecības procesā iespējama par cenu, sākot no 10-20 euro (ar PVN) par vienu metru. Savukārt kanālu izveide kopā ar kabeļa ieguldīšanu varētu izmaksāt, sākot no 30 euro (ar PVN) par vienu metru.
Saskaņā ar publiski pieejamo informāciju par piedāvājumu Latvijas tirgū elektrotransportlīdzekļu uzlādes staciju (tajā skaitā, pie sienas vai citas vertikālas virsmas piestiprināmu uzlādes staciju) ir iespējams iegādāties par cenu, sākot no 690 euro (ar PVN). Ņemot vērā pasaulē esošo situāciju paredzams cenu pieaugums.</w:t>
            </w:r>
          </w:p>
        </w:tc>
      </w:tr>
      <w:tr>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Juridiskās personas</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 (juridiskās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690,00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Dzīvojamo un nedzīvojamo ēku īpašnieki (būvniecības ierosinātāji), projektētāji, būvdarbu veicēji.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690,00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Uzlādes stacija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Vienību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690,00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Atbilstības izmaksas Noteikumu projektā paredzēto prasību izpildei nav iespējams precīzi aprēķināt, jo tās ir atkarīgas no katrai konkrētajai dzīvojamajai ēkai ierīkojamo automašīnu stāvvietu skaita, no kā attiecīgi izrietēs nepieciešamība ierīkot kanālus elektrības kabeļiem.
Kanālu izveide elektrības kabeļiem turpmākai elektrotransportlīdzekļu uzlādes punktu uzstādīšanas iespējai būvniecības procesā iespējama par cenu, sākot no 10-20 euro (ar PVN) par vienu metru. Savukārt kanālu izveide kopā ar kabeļa ieguldīšanu varētu izmaksāt, sākot no 30 euro (ar PVN) par vienu metru.
Saskaņā ar publiski pieejamo informāciju par piedāvājumu Latvijas tirgū elektrotransportlīdzekļu uzlādes staciju (tajā skaitā, pie sienas vai citas vertikālas virsmas piestiprināmu uzlādes staciju) ir iespējams iegādāties par cenu, sākot no 690 euro (ar PVN).Ņemot vērā pasaulē esošo situāciju paredzams cenu pieaugums.</w:t>
            </w:r>
          </w:p>
        </w:tc>
      </w:tr>
      <w:tr>
        <w:tc>
          <w:tcPr>
            <w:shd w:fill="ffffff"/>
            <w:vAlign w:val="center"/>
            <w:noWrap w:val="true"/>
            <w:gridSpan w:val="4"/>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1 380,00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precīzi aprēķināms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precīzi aprēķināms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precīzi aprēķināms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īpašuma (ēku, telpu grupu) valdītājiem (valsts tiešās pārvaldes iestādes, valsts kapitālsabiedrības – valsts institūcijas, kuru personā valstij piederošais nekustamais īpašums ir ierakstīts zemesgrāmatā, kas atbild par konkrētā valsts nekustamā īpašuma veida apsaimniekošanu vai kas veic konkrētā nekustamā īpašuma uzturēšanu un apsaimniekošanu saskaņā ar līgumu) un pašvaldībām (vai to pilnvarotām personām) kā dzīvojamo ēku būvniecības pasūtītājiem vai īpašniekiem (tiesiskajiem valdītājiem) paredzams būvniecības ieceres dokumentācijas un īstenošanas izmaksu palielinājums sakarā ar Noteikumu projektā paredzēto elektromobilitātes prasību izpildi, projektējot un ierīkojot elektrības kabeļkanālu infrastruktūru elektrotransportlīdzekļu uzlādes punktu ierīkošanai nākotnē. Izdevumi nav precīzi aprēķināmi, jo tie ir atkarīgi no katrā konkrētajā ēkā veicamajiem elektromobilitātes uzlabošanas pasākumiem. Izdevumus sakarā ar Noteikumu projektā paredzēto prasību izpildi valsts ēku valdītāji un pašvaldības nodrošinās savu budžetu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šobrīd izstrādē ir likumprojekts ”Transporta enerģijas likums”, kas, cita starpā, definēs un regulēs elektrotransportlīdzekļu uzlādes iespējas un prasības.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32010L0031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Direktīva 2010/31/ES ( 2010. gada 19. maijs ) par ēku energoefektivitāti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direktīva sekmē ēku energoefektivitātes uzlabošanu Eiropas Savienībā, ņemot vērā āra klimatiskos apstākļus un vietējās īpatnības, kā arī prasības attiecībā uz telpu mikroklimatu un rentabilitāti.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32018L0844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Direktīva (ES) 2018/844 (2018. gada 30. maijs), ar ko groza Direktīvu 2010/31/ES par ēku energoefektivitāti un Direktīvu 2012/27/ES par energoefektivitāti (Dokuments attiecas uz EEZ)</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Groza prasības ēku energoefektivitātei.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Direktīva 2010/31/ES ( 2010. gada 19. maijs ) par ēku energoefektivitāti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10.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2.punkts (attiecīgā būvnormatīva 41.</w:t>
            </w:r>
            <w:r w:rsidR="00000000" w:rsidRPr="00000000" w:rsidDel="00000000">
              <w:rPr>
                <w:sz w:val="24"/>
                <w:vertAlign w:val="superscript"/>
                <w:rtl w:val="0"/>
              </w:rPr>
              <w:t xml:space="preserve">6</w:t>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Paredz stingrākas prasības, nosakot kritēriju atjaunošanai vai pārbūvei – ka tai jāskar vismaz 25 % no ēkas būves elementu kopējās laukuma virsmas (Direktīvas 2.panta 10.punkta b) apakšpunkts paredz kritēriju “vairāk nekā 25 % no norobežojošās konstrukcijas virsmas”. Stingrāka prasība izvēlēta, ievērojot, ka tā jau iepriekš ir ieviesta ar Ministru kabineta 2019.gada 25.jūnija noteikumiem Nr.280 “Noteikumi par Latvijas būvnormatīvu LBN 002-19 “Ēku norobežojošo konstrukciju siltumtehnika”” 9., 12.punktu un pielikuma 2.tabulu, paredzot 25% ēkas būves elementu kopējo laukuma virsmu kā robežvērtību nozīmīgai atjaunošanai Direktīvas izpratnē, bet Latvijas gadījumā – jēdzienu “ atjaunošana vai pārbūve” izpratnē un ar to saistītām prasībām. Skatīt anotācijas sadaļu “Risinājuma apraksts”.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2.punkts (attiecīgā būvnormatīva 41.</w:t>
            </w:r>
            <w:r w:rsidR="00000000" w:rsidRPr="00000000" w:rsidDel="00000000">
              <w:rPr>
                <w:sz w:val="24"/>
                <w:vertAlign w:val="superscript"/>
                <w:rtl w:val="0"/>
              </w:rPr>
              <w:t xml:space="preserve">1</w:t>
            </w:r>
            <w:r w:rsidR="00000000" w:rsidRPr="00000000" w:rsidDel="00000000">
              <w:rPr>
                <w:sz w:val="24"/>
                <w:rtl w:val="0"/>
              </w:rPr>
              <w:t xml:space="preserve">, 41.</w:t>
            </w:r>
            <w:r w:rsidR="00000000" w:rsidRPr="00000000" w:rsidDel="00000000">
              <w:rPr>
                <w:sz w:val="24"/>
                <w:vertAlign w:val="superscript"/>
                <w:rtl w:val="0"/>
              </w:rPr>
              <w:t xml:space="preserve">2</w:t>
            </w:r>
            <w:r w:rsidR="00000000" w:rsidRPr="00000000" w:rsidDel="00000000">
              <w:rPr>
                <w:sz w:val="24"/>
                <w:rtl w:val="0"/>
              </w:rPr>
              <w:t xml:space="preserve">, 41.</w:t>
            </w:r>
            <w:r w:rsidR="00000000" w:rsidRPr="00000000" w:rsidDel="00000000">
              <w:rPr>
                <w:sz w:val="24"/>
                <w:vertAlign w:val="superscript"/>
                <w:rtl w:val="0"/>
              </w:rPr>
              <w:t xml:space="preserve">5</w:t>
            </w:r>
            <w:r w:rsidR="00000000" w:rsidRPr="00000000" w:rsidDel="00000000">
              <w:rPr>
                <w:sz w:val="24"/>
                <w:rtl w:val="0"/>
              </w:rPr>
              <w:t xml:space="preserve"> un 41.</w:t>
            </w:r>
            <w:r w:rsidR="00000000" w:rsidRPr="00000000" w:rsidDel="00000000">
              <w:rPr>
                <w:sz w:val="24"/>
                <w:vertAlign w:val="superscript"/>
                <w:rtl w:val="0"/>
              </w:rPr>
              <w:t xml:space="preserve">6</w:t>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panta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2.punkts (attiecīgā būvnormatīva 41.</w:t>
            </w:r>
            <w:r w:rsidR="00000000" w:rsidRPr="00000000" w:rsidDel="00000000">
              <w:rPr>
                <w:sz w:val="24"/>
                <w:vertAlign w:val="superscript"/>
                <w:rtl w:val="0"/>
              </w:rPr>
              <w:t xml:space="preserve">3</w:t>
            </w:r>
            <w:r w:rsidR="00000000" w:rsidRPr="00000000" w:rsidDel="00000000">
              <w:rPr>
                <w:sz w:val="24"/>
                <w:rtl w:val="0"/>
              </w:rPr>
              <w:t xml:space="preserve">, 41.</w:t>
            </w:r>
            <w:r w:rsidR="00000000" w:rsidRPr="00000000" w:rsidDel="00000000">
              <w:rPr>
                <w:sz w:val="24"/>
                <w:vertAlign w:val="superscript"/>
                <w:rtl w:val="0"/>
              </w:rPr>
              <w:t xml:space="preserve">4</w:t>
            </w:r>
            <w:r w:rsidR="00000000" w:rsidRPr="00000000" w:rsidDel="00000000">
              <w:rPr>
                <w:sz w:val="24"/>
                <w:rtl w:val="0"/>
              </w:rPr>
              <w:t xml:space="preserve">, 41.</w:t>
            </w:r>
            <w:r w:rsidR="00000000" w:rsidRPr="00000000" w:rsidDel="00000000">
              <w:rPr>
                <w:sz w:val="24"/>
                <w:vertAlign w:val="superscript"/>
                <w:rtl w:val="0"/>
              </w:rPr>
              <w:t xml:space="preserve">5</w:t>
            </w:r>
            <w:r w:rsidR="00000000" w:rsidRPr="00000000" w:rsidDel="00000000">
              <w:rPr>
                <w:sz w:val="24"/>
                <w:rtl w:val="0"/>
              </w:rPr>
              <w:t xml:space="preserve"> un 41.</w:t>
            </w:r>
            <w:r w:rsidR="00000000" w:rsidRPr="00000000" w:rsidDel="00000000">
              <w:rPr>
                <w:sz w:val="24"/>
                <w:vertAlign w:val="superscript"/>
                <w:rtl w:val="0"/>
              </w:rPr>
              <w:t xml:space="preserve">6</w:t>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8.panta 6.punkta a) punktā paredzētā rīcības brīvības izmantota ar būvnormatīva 4. punkta izteikšanu jaunā redakcijā ar 2021. gada 19. oktobra grozījumiem. Savukārt 8.panta 6.punkta c) apakšpunktā paredzētās rīcības brīvības izmantošanai iztrūkst atvieglojuma piemērošanas un kontroles mehānisms, turklāt būvniecības kopējās izmaksas procesa gaitā var mainīties.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Direktīva (ES) 2018/844 (2018. gada 30. maijs), ar ko groza Direktīvu 2010/31/ES par ēku energoefektivitāti un Direktīvu 2012/27/ES par energoefektivitāti (Dokuments attiecas uz EEZ)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5.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(daļā par Direktīvas 2010/31/ES 8. panta 2. punktu)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2.punkts (attiecīgā būvnormatīva 41.</w:t>
            </w:r>
            <w:r w:rsidR="00000000" w:rsidRPr="00000000" w:rsidDel="00000000">
              <w:rPr>
                <w:sz w:val="24"/>
                <w:vertAlign w:val="superscript"/>
                <w:rtl w:val="0"/>
              </w:rPr>
              <w:t xml:space="preserve">1</w:t>
            </w:r>
            <w:r w:rsidR="00000000" w:rsidRPr="00000000" w:rsidDel="00000000">
              <w:rPr>
                <w:sz w:val="24"/>
                <w:rtl w:val="0"/>
              </w:rPr>
              <w:t xml:space="preserve">, 41.</w:t>
            </w:r>
            <w:r w:rsidR="00000000" w:rsidRPr="00000000" w:rsidDel="00000000">
              <w:rPr>
                <w:sz w:val="24"/>
                <w:vertAlign w:val="superscript"/>
                <w:rtl w:val="0"/>
              </w:rPr>
              <w:t xml:space="preserve">2</w:t>
            </w:r>
            <w:r w:rsidR="00000000" w:rsidRPr="00000000" w:rsidDel="00000000">
              <w:rPr>
                <w:sz w:val="24"/>
                <w:rtl w:val="0"/>
              </w:rPr>
              <w:t xml:space="preserve">, 41.</w:t>
            </w:r>
            <w:r w:rsidR="00000000" w:rsidRPr="00000000" w:rsidDel="00000000">
              <w:rPr>
                <w:sz w:val="24"/>
                <w:vertAlign w:val="superscript"/>
                <w:rtl w:val="0"/>
              </w:rPr>
              <w:t xml:space="preserve">5</w:t>
            </w:r>
            <w:r w:rsidR="00000000" w:rsidRPr="00000000" w:rsidDel="00000000">
              <w:rPr>
                <w:sz w:val="24"/>
                <w:rtl w:val="0"/>
              </w:rPr>
              <w:t xml:space="preserve"> un 41.</w:t>
            </w:r>
            <w:r w:rsidR="00000000" w:rsidRPr="00000000" w:rsidDel="00000000">
              <w:rPr>
                <w:sz w:val="24"/>
                <w:vertAlign w:val="superscript"/>
                <w:rtl w:val="0"/>
              </w:rPr>
              <w:t xml:space="preserve">6</w:t>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5.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(daļā par Direktīvas 2010/31/ES 8. panta 5. punktu)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2.punkts (attiecīgā būvnormatīva 41.</w:t>
            </w:r>
            <w:r w:rsidR="00000000" w:rsidRPr="00000000" w:rsidDel="00000000">
              <w:rPr>
                <w:sz w:val="24"/>
                <w:vertAlign w:val="superscript"/>
                <w:rtl w:val="0"/>
              </w:rPr>
              <w:t xml:space="preserve">3</w:t>
            </w:r>
            <w:r w:rsidR="00000000" w:rsidRPr="00000000" w:rsidDel="00000000">
              <w:rPr>
                <w:sz w:val="24"/>
                <w:rtl w:val="0"/>
              </w:rPr>
              <w:t xml:space="preserve">, 41.</w:t>
            </w:r>
            <w:r w:rsidR="00000000" w:rsidRPr="00000000" w:rsidDel="00000000">
              <w:rPr>
                <w:sz w:val="24"/>
                <w:vertAlign w:val="superscript"/>
                <w:rtl w:val="0"/>
              </w:rPr>
              <w:t xml:space="preserve">4</w:t>
            </w:r>
            <w:r w:rsidR="00000000" w:rsidRPr="00000000" w:rsidDel="00000000">
              <w:rPr>
                <w:sz w:val="24"/>
                <w:rtl w:val="0"/>
              </w:rPr>
              <w:t xml:space="preserve">, 41.</w:t>
            </w:r>
            <w:r w:rsidR="00000000" w:rsidRPr="00000000" w:rsidDel="00000000">
              <w:rPr>
                <w:sz w:val="24"/>
                <w:vertAlign w:val="superscript"/>
                <w:rtl w:val="0"/>
              </w:rPr>
              <w:t xml:space="preserve">5</w:t>
            </w:r>
            <w:r w:rsidR="00000000" w:rsidRPr="00000000" w:rsidDel="00000000">
              <w:rPr>
                <w:sz w:val="24"/>
                <w:rtl w:val="0"/>
              </w:rPr>
              <w:t xml:space="preserve"> un 41.</w:t>
            </w:r>
            <w:r w:rsidR="00000000" w:rsidRPr="00000000" w:rsidDel="00000000">
              <w:rPr>
                <w:sz w:val="24"/>
                <w:vertAlign w:val="superscript"/>
                <w:rtl w:val="0"/>
              </w:rPr>
              <w:t xml:space="preserve">6</w:t>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8.panta 6.punkta a) punktā paredzētā rīcības brīvības izmantota ar būvnormatīva 4. punkta izteikšanu jaunā redakcijā ar 2021. gada 19. oktobra grozījumiem. Savukārt 8.panta 6.punkta c) apakšpunktā paredzētās rīcības brīvības izmantošanai iztrūkst atvieglojuma piemērošanas un kontroles mehānisms, turklāt būvniecības kopējās izmaksas procesa gaitā var mainīties.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iebildumi vai priekšlikumi netika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Institūcijas, kas pilda būvvaldes funkcijas, un institūcijas, kas kontrolē būvniecības procesu.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neietekmē institūciju funkcijas un struktūru. Nav plānota jaunu institūciju izveide, esošu institūciju likvidācija vai reorganizācija. Noteikumu projekts tiks izpildīts esošo cilvēkresursu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22-TA-1132</w:t>
    </w:r>
    <w:r>
      <w:br/>
    </w:r>
    <w:r w:rsidR="00000000" w:rsidRPr="00000000" w:rsidDel="00000000">
      <w:rPr>
        <w:rtl w:val="0"/>
      </w:rPr>
      <w:t xml:space="preserve">Izdrukāts 29.07.2026. 21.55 - 5.0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22-TA-1132</w:t>
    </w:r>
    <w:r>
      <w:br/>
    </w:r>
    <w:r w:rsidR="00000000" w:rsidRPr="00000000" w:rsidDel="00000000">
      <w:rPr>
        <w:rtl w:val="0"/>
      </w:rPr>
      <w:t xml:space="preserve">Izdrukāts 29.07.2026. 21.55 - 5.0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anotācija_(ex_ante)_22-TA-1132.docx</dc:title>
</cp:coreProperties>
</file>

<file path=docProps/custom.xml><?xml version="1.0" encoding="utf-8"?>
<Properties xmlns="http://schemas.openxmlformats.org/officeDocument/2006/custom-properties" xmlns:vt="http://schemas.openxmlformats.org/officeDocument/2006/docPropsVTypes"/>
</file>