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Segto obligāciju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Ieguldījumu brokeru sabiedrību likumā" (turpmāk - Likumprojekts) izstrādāts, ņemot vērā 2021.gada 23.septembrī pieņemtos grozījumus par Finanšu un kapitālas tirgus komisijas pievienošanu Latvijas Bankai, kuri stājās spēkā 2023.gada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Segto obligāciju likuma atbilstību finanšu sektora normatīvajiem aktiem saistībā ar 2021.gada 23.septembrī pieņemtajiem grozījumiem par Finanšu un kapitālas tirgus komisijas pievienošanu Latvijas Bankai.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1.janvārī stājušies spēkā 2021.gada 23.septembrī pieņemtie grozījumi par Finanšu un kapitālas tirgus komisijas pievienošanu Latvijas Bankai, tad nepieciešami virkne grozījumu Segto obligāciju likumā, lai nodrošinātu minētā likuma tiesību normu atbilstību finanšu sektora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Segto obligāciju likumā nav veikti tehniski grozījumi, kas atbilstu reformai par Finanšu un kapitālas tirgus komisijas pievienošanu Latvijas Bankai, kā arī sankcijas nav nodalītas no administratīvajiem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2., 3. un 4.pants paredz tehniskus grozījumus, lai nodrošināt Segto obligāciju likuma atbilstību finanšu sektora normatīvajiem aktiem, proti, par Finanšu un kapitālas tirgus komisijas pievienošanu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6., 7. un 9.pants paredz grozījumus ar kuriem sankcijas tiek nodalītas no administratīvajiem pasākumiem, proti, Segto obligāciju likuma 100.pants tiek papildināts ar 1.</w:t>
      </w:r>
      <w:r w:rsidR="00000000" w:rsidRPr="00000000" w:rsidDel="00000000">
        <w:rPr>
          <w:vertAlign w:val="superscript"/>
          <w:rtl w:val="0"/>
        </w:rPr>
        <w:t xml:space="preserve">1</w:t>
      </w:r>
      <w:r w:rsidR="00000000" w:rsidRPr="00000000" w:rsidDel="00000000">
        <w:rPr>
          <w:rtl w:val="0"/>
        </w:rPr>
        <w:t xml:space="preserve"> daļu, kura atsevišķi izdala administratīvos pasākumus, nodalot tos no sankcijām un uzraudzības pasākumiem. Administratīvos pasākumus piemēro par personas jau izdarītu pārkāpumu par kuru nav samērīgi piemērot sodoša rakstura sankciju, ja uz to nepieciešams reaģēt, lai ierobežotu vai novērstu iespējamo kaitējumu sabiedrības interesēm. Administratīvie pasākumi izdalīti no sankcijām un uzraudzības pasākumiem atbilstoši vispārējam finanšu sektora normatīvo aktu regulējumam par administratīvās atbildības piemērošanu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Segto obligāciju likumu papildināt ar 102.</w:t>
      </w:r>
      <w:r w:rsidR="00000000" w:rsidRPr="00000000" w:rsidDel="00000000">
        <w:rPr>
          <w:vertAlign w:val="superscript"/>
          <w:rtl w:val="0"/>
        </w:rPr>
        <w:t xml:space="preserve">1</w:t>
      </w:r>
      <w:r w:rsidR="00000000" w:rsidRPr="00000000" w:rsidDel="00000000">
        <w:rPr>
          <w:rtl w:val="0"/>
        </w:rPr>
        <w:t xml:space="preserve"> pantu, proti, noilguma termiņu lietu ierosināšanai par  pārkāpumiem, paredzot Latvijas Bankai terminētu laika posmu, lai reaģētu uz Segto obligāciju likuma subjektu pārkāpumiem. Piecu gadu termiņš lietas ierosināšanai no pārkāpuma izdarīšanas dienas un divu gadu termiņš sankciju un administratīvo pasākumu piemērošanai paredzēts, lai noteiktu samērīgus termiņus Latvijas Bankai īstenot tai deleģētās funkcijas finanšu sektora uzraudzībā, vienlaikus nodrošinot tiesisko noteiktību subjektiem, proti, noteikta laika robežu esamība stimulē reaģēšanu uz pārkāpumiem (lietas ierosināšanu) un lēmuma pieņemšanu, kas pārkāpumu gadījumā subjektiem ļauj rēķināties ar sekām paredzamā nākotnē. Minētie noilguma termiņi noteikti līdzīgi kā, piemēram, Noziedzīgi iegūtu līdzekļu legalizācijas un terorisma un proliferācijas finansēšanas novēršanas likumā, Ieguldījumu brokeru sabiedrību likumā, Akciju atpirkšanas likumā,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22-TA-3104</w:t>
    </w:r>
    <w:r>
      <w:br/>
    </w:r>
    <w:r w:rsidR="00000000" w:rsidRPr="00000000" w:rsidDel="00000000">
      <w:rPr>
        <w:rtl w:val="0"/>
      </w:rPr>
      <w:t xml:space="preserve">Izdrukāts 29.07.2026. 21.34 - 1.0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22-TA-3104</w:t>
    </w:r>
    <w:r>
      <w:br/>
    </w:r>
    <w:r w:rsidR="00000000" w:rsidRPr="00000000" w:rsidDel="00000000">
      <w:rPr>
        <w:rtl w:val="0"/>
      </w:rPr>
      <w:t xml:space="preserve">Izdrukāts 29.07.2026. 21.34 - 1.0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anotācija_(ex_ante)_22-TA-3104.docx</dc:title>
</cp:coreProperties>
</file>

<file path=docProps/custom.xml><?xml version="1.0" encoding="utf-8"?>
<Properties xmlns="http://schemas.openxmlformats.org/officeDocument/2006/custom-properties" xmlns:vt="http://schemas.openxmlformats.org/officeDocument/2006/docPropsVTypes"/>
</file>