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VTNP nosacījumu piemērošanu, kā arī sniegtu detalizētākus skaidrojumus atsevišķām atbalstāmām darbībām un projekta iesniedzēja obligātiem pielikumiem, iesniedzot projekta iesniegumu, ir sagatavoti grozījumi Ministru kabineta 2024.gada 19. novembra noteikumos Nr. 726 "Eiropas Savienības kohēzijas politikas programmas 2021.–2027. gadam 2.3.1. specifiskā atbalsta mērķa "Veicināt ilgtspējīgu daudzveidu mobilitāti pilsētās" 2.3.1.2. pasākuma "Multimodāls sabiedriskā transporta tīkls" īstenošanas noteikumi" (turpmāk - Noteikumi).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sniegt detalizētāku skaidrojumu par projektu īstenošanas nosacījumu piemērošanu, kā arī precizēt atsevišķās atbalstāmās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Noteikumos, lai nodrošinātu korektu VTNP nosacījumu piemērošanu, kā arī sniegtu detalizētākus skaidrojumus atsevišķām atbalstāmām darbībām un projekta iesniedzēja obligātiem pielikumiem, iesniedzot projekta iesniegumu. Ņemot vērā pirmās projektu iesniegumu atlases kārtā identificēto nepieciešamību, ir paplašināta projekta funkcionālā savienojuma teritorija.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precizējumus Noteikumos, lai precizētu spēkā esošo regulējumu, kā arī lai novērstu atsevišķu normu dažādu interpretējumu. Noteikumi neregulē jautājumus, kas saistīti ar pasākuma mērķi, nacionāliem rādītājiem, finansējumu vai nacionālo rādītāju sasniegšanas termiņiem.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nerada ietekmi uz projektu iesniegumu atlases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detalizētāk skaidro VTNP nosacījumu piemērošanu, precizē velosipēdu un gājēju ielu funkcionālo savienojumu izbūves, pārbūves vai atjaunošanas izmaksas, nosakot attiecīgā funkcionālā savienojuma maksimālo garumu (četri kilometri no projekta īstenošanas teritorijas), papildina atbalstāmās darbības ar publisko labierīcību ierīkošanas izmaksām ēkās vai sanitāro moduļu ierīkošanas izmaksām sabiedriskā transporta savienojumu punktā (iepriekš tika atrunāts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netiek veiktas izmaiņas vai precizējumi pasākuma īstenošanas termiņos un finansējuma apmērā. Atsevišķa projektu iesniedzēju informēšana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precizēti un papildināti atsevišķie punkti, anotācija papildināta ar skaidrojumiem, novērstas tehniskās neprecizitātes.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punkts precizēts (tehniskie precizējumi), papildinot ar diviem apakšpunktiem, kur sniegts skaidrojumus par augstās gatavības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 punkts precizēts, aizstājot vārdus "zemes īpašumā" ar vārdiem "nekustamajā īpašumā", tādējādi nosakot iespēju projekta iesniedzējam veikt ieguldījumus valsts vai pašvaldību, tai skaitā to kapitālsabiedrību īpašumā, piemēram, esošo ēku telpās, lai ierīkotu publiskās labierīcības sabiedriskā transporta savienojumu punktos vai izbūvēt gājēju vai velosipēdu ceļu uz valsts vai pašvaldības, vai to kapitālsabiedrību un iestāžu īpašumā esošas zemes. Ieguldījumi ēkās ir atbalstāmi tikai publisko labierīcību ierīkošanai. Ēku izbūve, pārbūve nav atbalstāma. Atbalsts tiek piešķirts darbībām, kas saistītas ar labierīcībām paredzēto telpu kosmētisko remontu. Nav atbalstāmas ēkas vai ēku daļas konstruktīvās izmaiņas (piemēram, pārbūve) vai ar labierīcību telpu nesaistītu telpu remonta vai citi labiekārtošanas darbi vai izmaksas. Finansējums publisko labierīcību ierīkošanai nav komercdarbības atbalsts, t.sk. VTNP pakalpojums. Noteikumu 21. punkts papildināts ar izņēmuma gadījumu, ja tiek noslēgts patapinājuma līgums, tā nostiprināšanas zemesgrāmatā nav nepieciešama. Papildus 21.punkts precizēts ar 21.1. un 21.2. apakšpunktiem (sadalīts 21. punkts), precizējot ar to, ka pašvaldības nekustamais īpašums uz pašvaldības pilnvarojuma pamata ir nodots pašvaldības kapitālsabiedrībai – projekta iesniedzējam – ar projekta īstenošanu saistīto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23. punkts, nosakot par pienākumu projekta iesniedzējam pievienot kā pielikumu projekta iesniegumam noslēgto līgumu ar sabiedrisko ūdenssaimniecības pakalpojumu sniedzēju, ja projekta iesniedzējs nav sabiedrisko ūdenssaimniecības pakalpojumu sniedzējs un projekta ietvaros plānotas VTNP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23.1. apakšpunkts (tehniskie precizējumi, nerada ietekmi projektu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23.</w:t>
      </w:r>
      <w:r w:rsidR="00000000" w:rsidRPr="00000000" w:rsidDel="00000000">
        <w:rPr>
          <w:vertAlign w:val="superscript"/>
          <w:rtl w:val="0"/>
        </w:rPr>
        <w:t xml:space="preserve">1 </w:t>
      </w:r>
      <w:r w:rsidR="00000000" w:rsidRPr="00000000" w:rsidDel="00000000">
        <w:rPr>
          <w:rtl w:val="0"/>
        </w:rPr>
        <w:t xml:space="preserve">un 23.</w:t>
      </w:r>
      <w:r w:rsidR="00000000" w:rsidRPr="00000000" w:rsidDel="00000000">
        <w:rPr>
          <w:vertAlign w:val="superscript"/>
          <w:rtl w:val="0"/>
        </w:rPr>
        <w:t xml:space="preserve">2</w:t>
      </w:r>
      <w:r w:rsidR="00000000" w:rsidRPr="00000000" w:rsidDel="00000000">
        <w:rPr>
          <w:rtl w:val="0"/>
        </w:rPr>
        <w:t xml:space="preserve"> punktu, kur skaidroti nosacījumi, kurus jāievēro, sniedzot VTNP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24.1. apakšpunkts svītrots, lai mazinātu administratīvo slogu projekta iesniedzējam - svītrots nosacījums projekta iesniedzējam iesniegt kā pielikumu projekta iesniegam publisko iepirkumu dokumentācijas atbilstības pārbaudes lapu un iepirkuma norises atbilstības pārbaudes lapu. Minēta nosacījuma svītrošana neizslēdz veiktā iepirkuma pārbaudi un neatbilstību konstatējumus pēc vienošanās vai līguma par projekta īstenošanu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24.3. apakšpunkts, svītrojot apliecinājumu iesniegšanu par projekta iesniedzēja atbilstību regulas Nr. 651/2014 2.panta 18. punkta "c" apakšpunkta nosacījumiem, ņemot vērā to, ka minēta projekta iesniedzēja pārbaude tiek veikta projekta iesnieguma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24.4. apakšpunkts svītrots, ņemot vērā to, ka regulas Nr. 651/2014 36.a panta 10. un 11. punktā noteikto nosacījumu ievērošanu veiks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24.5. apakšpunkts sadalīts, papildinot Noteikumus ar 24.5</w:t>
      </w:r>
      <w:r w:rsidR="00000000" w:rsidRPr="00000000" w:rsidDel="00000000">
        <w:rPr>
          <w:vertAlign w:val="superscript"/>
          <w:rtl w:val="0"/>
        </w:rPr>
        <w:t xml:space="preserve">1</w:t>
      </w:r>
      <w:r w:rsidR="00000000" w:rsidRPr="00000000" w:rsidDel="00000000">
        <w:rPr>
          <w:rtl w:val="0"/>
        </w:rPr>
        <w:t xml:space="preserve"> apakšpunktu, detalizētāk skaidrojot iesniedzamās informācijas apjomu </w:t>
      </w:r>
      <w:r w:rsidR="00000000" w:rsidRPr="00000000" w:rsidDel="00000000">
        <w:rPr>
          <w:i w:val="1"/>
          <w:rtl w:val="0"/>
        </w:rPr>
        <w:t xml:space="preserve">de minimis</w:t>
      </w:r>
      <w:r w:rsidR="00000000" w:rsidRPr="00000000" w:rsidDel="00000000">
        <w:rPr>
          <w:rtl w:val="0"/>
        </w:rPr>
        <w:t xml:space="preserve"> atbalsta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24.6. apakšpunkts par nosacījumu iesniegt VAS "Latvijas dzelzceļš" apliecinājumu par paaugstināta perona izbūves pabeigšanu precizēts, svītrojot vārdu "pabeigtu". Precizējuma mērķis ir veicināt sabiedriskā transporta savienojumu punktu izbūvi pie paaugstinātājiem dzelzceļa peroniem, kurus VAS "Latvijas dzelzceļš" plāno izbūvēt ES fondu 2014.-2020.gadu un 2021.-2027.gadu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nolūkā ir svītrots 24.11. apakšpunkts, svītrojot projekta iesniedzējam pienākumu projekta iesniegumam pievienot VTNP pilnvarojuma uzlicēja apliecinājumu par atlīdzības (kompensācijas) maksājumu aprēķinu kontroli un pārskatīšanu, kā arī par atlīdzības (kompensācijas) maksājumu pārmaksas novēršanu un atmaksāšanu.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pirmās projektu iesniegumu atlases ietvaros iesniegti projektu iesniegumu par mazāku ERAF finansējumu, nekā projektu iesniegumu atlasē pieejamais finansējums (neizveidojās projektu iesniegumu konkurss), precizējums Noteikumu 24.6.apakšpunktā neietekmē pirmās projektu iesniegumu atlases rezultātus un nerada nevienlīdzīgu attieksmi pret projektu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pirmās projektu iesniegumu atlases laikā identificētās vajadzības,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27.8. apakšpunkts, pagarinot atbalstāmo funkcionālo savienojumu no 400 metriem līdz 600 metriem gadījumos, ja starp projekta iesniedzēja noteikto projekta īstenošanas teritoriju un funkcionālo savienojumu ir ielas vai ceļa posms, kas nav garāks par 600 metriem, izņemot gadījumu, ja funkcionālais savienojums ir vienīgā alternatīva nokļūšanai no projekta iesniedzēja noteiktās projekta īstenošanas teritorijas līdz publisko ceļu tīklam vai funkcionālais savienojums ir turpinājums tās pašas ielas vai tā paša ceļa posmam, kas nav garāks par 600 metriem nacionālas un reģionālas nozīmes attīstības centros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jaunu 27.8</w:t>
      </w:r>
      <w:r w:rsidR="00000000" w:rsidRPr="00000000" w:rsidDel="00000000">
        <w:rPr>
          <w:vertAlign w:val="superscript"/>
          <w:rtl w:val="0"/>
        </w:rPr>
        <w:t xml:space="preserve">1 </w:t>
      </w:r>
      <w:r w:rsidR="00000000" w:rsidRPr="00000000" w:rsidDel="00000000">
        <w:rPr>
          <w:rtl w:val="0"/>
        </w:rPr>
        <w:t xml:space="preserve">apakšpunktu, nosakot, ka atbalsts tiek piešķirts velosipēdu un gājēju ceļu funkcionālo savienojumu izbūves, pārbūves vai atjaunošanas izmaksām, kas nepārsniedz četrus kilometrus no projekta īstenošanas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27.10.</w:t>
      </w:r>
      <w:r w:rsidR="00000000" w:rsidRPr="00000000" w:rsidDel="00000000">
        <w:rPr>
          <w:vertAlign w:val="superscript"/>
          <w:rtl w:val="0"/>
        </w:rPr>
        <w:t xml:space="preserve">1</w:t>
      </w:r>
      <w:r w:rsidR="00000000" w:rsidRPr="00000000" w:rsidDel="00000000">
        <w:rPr>
          <w:rtl w:val="0"/>
        </w:rPr>
        <w:t xml:space="preserve"> apakšpunktu, nosakot par tiešām attiecināmām izmaksām publisko labierīcību ierīkošanas izmaksas ēkās vai sanitāro moduļu ierīkošanas izmaksas sabiedriskā transporta savienojumu punktā (iepriekš minētās izmaksas tika atrunātas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27.15. apakšpunktā svītrota atsauce uz Eiropas Komisijas Lēmumu Nr. 2012/21/ES, pielāgojot juridiskās tehnikas prasībām (nerada ietekmi projekta iesniedzējam, ņemot vērā to, ka Lēmuma prasības ir iestrādātas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34.</w:t>
      </w:r>
      <w:r w:rsidR="00000000" w:rsidRPr="00000000" w:rsidDel="00000000">
        <w:rPr>
          <w:vertAlign w:val="superscript"/>
          <w:rtl w:val="0"/>
        </w:rPr>
        <w:t xml:space="preserve">1</w:t>
      </w:r>
      <w:r w:rsidR="00000000" w:rsidRPr="00000000" w:rsidDel="00000000">
        <w:rPr>
          <w:rtl w:val="0"/>
        </w:rPr>
        <w:t xml:space="preserve"> punktu, kur noteikts periods, kura laikā komercdarbības atbalsta saņēmējam un VTNP pilnvarojuma uzlicējam jānodrošina piekļūstamību visai nepieciešamai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37. punkts precizēts, svītrojot "dalībvalstij", lai nodrošinātu atbilstību Eiropas Parlamenta un Padomes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nosacījumiem, kas nosaka ilgtspējas nosacījuma termiņu piecus gadus pēc galīgā maksājuma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42.8. apakšpunkts, nosakot par pienākumu nodrošināt projekta dokumentācijas pieejamību par darbībām, uz kurām attiecināmi komercdarbības atbalsta nosacījumi projekta amortizācijas periodā (projekta dzīves ciklā), iepriekš tika noteikts nodrošināt minētās dokumentācijas pieejamību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52. punkts un precizēts Noteikumu 54. punkts, uzraudzība tiek veikta tikai papildinošai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57.2. un 57.3. apakšpunkti un 62. punkts, nomainot "finansējuma saņēmēju" ar "projekta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65.</w:t>
      </w:r>
      <w:r w:rsidR="00000000" w:rsidRPr="00000000" w:rsidDel="00000000">
        <w:rPr>
          <w:vertAlign w:val="superscript"/>
          <w:rtl w:val="0"/>
        </w:rPr>
        <w:t xml:space="preserve">1</w:t>
      </w:r>
      <w:r w:rsidR="00000000" w:rsidRPr="00000000" w:rsidDel="00000000">
        <w:rPr>
          <w:rtl w:val="0"/>
        </w:rPr>
        <w:t xml:space="preserve"> punktu ar atbalsta kumulācijas nosacījumiem VTNP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69.</w:t>
      </w:r>
      <w:r w:rsidR="00000000" w:rsidRPr="00000000" w:rsidDel="00000000">
        <w:rPr>
          <w:vertAlign w:val="superscript"/>
          <w:rtl w:val="0"/>
        </w:rPr>
        <w:t xml:space="preserve">2</w:t>
      </w:r>
      <w:r w:rsidR="00000000" w:rsidRPr="00000000" w:rsidDel="00000000">
        <w:rPr>
          <w:rtl w:val="0"/>
        </w:rPr>
        <w:t xml:space="preserve"> punktu, kur noteikts, ka, ja finansējuma saņēmējs ir pašvaldība un projekta ietvaros radušās Noteikumu 27.15. apakšpunktā minētās izmaksas, finansējuma saņēmējs nodrošina, ka projekta ietvaros radītās VTNP infrastruktūras īpašumtiesības tiek nodotas VTNP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 punkts precizēts ar līdzekļu atgūšanas nosacījumiem komercdarbības atbalsta gadījumā darbībām, kas īstenoti, piemērojot VTNP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kā viena no atbalstāmajām darbībām ir parastās jaudas uzlādes punktu izbūve sabiedriskā transporta savienojumu punktos, kur atbalsts tiek piešķirts saskaņā ar Regulas Nr. 651/2014 36.a panta nosacījumiem. Saskaņā ar CSDD datiem uz 2025. gada 1.janvāri Latvijā reģistrēto tikai ar elektrību darbināmo vieglo transportlīdzekļu īpatsvars ir 2,96 % no kopējā Latvijā reģistrēto vieglo transportlīdzekļu skaita (avots: CSDD, sadaļa "Statistika", "TL pa enerģijas avotiem un novadiem").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Velostatīvs</w:t>
      </w:r>
      <w:r w:rsidR="00000000" w:rsidRPr="00000000" w:rsidDel="00000000">
        <w:rPr>
          <w:rtl w:val="0"/>
        </w:rPr>
        <w:t xml:space="preserve"> - konstrukcija velosipēdu novietošanai stāvus vai uzkrautā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Velonovietne</w:t>
      </w:r>
      <w:r w:rsidR="00000000" w:rsidRPr="00000000" w:rsidDel="00000000">
        <w:rPr>
          <w:rtl w:val="0"/>
        </w:rPr>
        <w:t xml:space="preserve"> - iekārtota vieta (piemēram, ar velostatīvu vai veloskapjiem) velosipēdu novietošanai.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Nojume</w:t>
      </w:r>
      <w:r w:rsidR="00000000" w:rsidRPr="00000000" w:rsidDel="00000000">
        <w:rPr>
          <w:rtl w:val="0"/>
        </w:rPr>
        <w:t xml:space="preserve"> - pārsegta, daļēji slēgta vai atklāta ēkas vai telpu grupas neapkurināta ārtelpa, kas piebūvēta pie ēkas vai ir brīvi stāvoša.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Ārtelpas</w:t>
      </w:r>
      <w:r w:rsidR="00000000" w:rsidRPr="00000000" w:rsidDel="00000000">
        <w:rPr>
          <w:rtl w:val="0"/>
        </w:rPr>
        <w:t xml:space="preserve"> – konstruktīvi ar sienām un pārsegumu vai jumtu no visām pusēm nenorobežotas un ar iekštelpu neapvienotas ēkas telpas, kurās nav iebūvētas vienmērīgu klimatu uzturošas iekārtas (apkures, ventilācijas, saldēšanas un tamlīdzīgas iekārtas un aprīkojums) un kurās brīvi cirkulē āra gaiss (piemēram, balkoni, lodžijas, terases, nojumes, apjumtas pergolas, rampas).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skaidrojumu par labierīcību ierīkošanu sabiedriskā transporta savienojumu punktos. Un tieši, gadījumā, ja projekta īstenošanas teritorijā ir ēka, kas nav projekta iesniedzēja īpašumā vai valdījumā (tai skaitā noslēgts patapinājuma līgums, kur atrunātas šādas darbības, kā arī citi ar to saistīti jautājumi (piemēram, apsaimniekošana, pieļaujamais darbību apjoms u.c.)), projekta iesniedzējam ir tiesības veikt ieguldījumus parastu labierīcību izbūvē ēkā vai laukumā un tas netiek klasificēts kā komercdarbības atbalsts. Noteikumu ietvaros atbalsts netiek sniegts ēku izbūvē, pārbūvē vai atjaunošanā. Ierīkojot labierīcības minētajās ēkās, atbalsts tiek piešķirts tikai labierīcībām paredzētās telpas remontam, kas neskar telpu konstrukcijas, neietver telpu vai ēku pārbūvi, nemaina ēkas vai telpu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atbildīgā iestāde, kas nodrošina informācijas ievadi SANI2 sistēmā, par atbildīgo nosakot Satiksmes ministriju.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izmantojot  Eiropas Komisijas elektroniskās paziņošanas sistēmu, 20 darba dienu laikā no atbalsta programmas stāšanās spēkā, izmantojot SANI2 sistēmu, nosūta kopsavilkuma informāciju regulas Nr. 651/2014 II pielikumā noteiktajā standartizētajā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24.2. apakšpunkts un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 punkts “s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1. un 2.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1. punkts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 57.5. apakšpunkts un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27.13. un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 un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27.9. apakšpunkts, 56. punkts, 57.5. apakšpunkts,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64.2.  apakšpunkts un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institūciju funkcijas, institucionālo struktūru un tai pieejamos cilvēkresursus. Saistībā ar noteikumu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integrētās sabiedriskā transporta sistēmas attīstību Latvijas Republikas teritorijā, nodrošinot sabiedriskā transporta un mikromobilitātes infrastruktūras un rīku piekļūstamību ar dzelzceļu kā transporta sistēmas "mugurkaulu".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atbilst Latvijas nacionāla attīstības plāna 2021.-2027. gadam definētajiem priekšnosacījumiem teritoriāli vienmērīgas sasniedzamības un kvalitatīvas, ilgtspējīgas iekšējās mobilitātes nodrošināšanai un dzelzceļa kā sabiedriskā transporta mugurkaula izmantošanai, veidojot hierarhisku transporta infrastruktūras un mobilitātes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sabiedriskā transporta mobilitātes infrastruktūrā veicinās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jāiesniedz risku izvērtējums saistībā ar HP principa "Nenodarīt būtisku kaitējumu" un "Klimatdrošināšana" par katru sabiedriskā transporta savienojumu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SEG emisiju samazināšanās Latvijas Republikas teritorijas transporta sektorā, kā arī tiks stimulēta pasažieru paradumu maiņa un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attīstības rezultātā ir sagaidāms, ka palielināsies sabiedriskā transporta un mikromobilitātes infrastruktūras un rīku lietotāju skaits. Proti, attiecīgās infrastruktūras izveidošana stimulēs velosipēda izmantošanu ikdienā, kam ir būtiska loma sabiedrības sociālajā dzīvē (piemēram, nodrošināta mobilitāte mājsaimniecībām ar zemākiem ienākumiem, uzlabota sabiedrības veselība un ietaupīti veselības aprūpē nodalīto budžetu resursi, paaugstināta dzīves kvalitāte,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veicina personu ar invaliditāti vienlīdzīgās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digitāli pakalpojumi vai programmas, kur ir veikta informācijas pielāgošana specifisko lietotāju grupām (personām ar redzes, dzirdes un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izstrādāti uz tīmekļvietnes un uz mobilajām ierīcēm balstīti pakalpojumi, tostarp mobilās lietotnes, kas ir piekļūstamas, atbilst personu ar invaliditāti īpašajām vajadzībām un uzlabo piekļuvi transporta infrastruktūrai un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pozitīvā ietekme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ielu infrastruktūru ir būtisks apgaismojums - lai būtu droši pārvietoties gan no ērtības un drošības kopumā, gan specifiski sievietēm. Piemēram, labs apgaismojums mazina riskus vardarbībai pret sievietēm, aizskaršanai/apdraudējumam. Tas būtu attiecināms arī uz vecāko paaudzi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pārvietošanos uz ielas - ietves tiks veidotas ar lēzenu nobraukumu/ uzbraukumu, izvairoties no kāpnēm vai, ja tādas ir, tad ar pielāgojumiem, lai būtu izmantojamas, pārvietojoties ar bērnu ratiņiem. Svarīga ir arī soliņu izbūve pie ietvēm, kas ir būtiska ne tikai vecākai paaudzei, bet arī vecākiem ar bērniem.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rezultātā samazināsies SEG un putekļu daļiņu emisijas, trokšņa piesārņojums, tiks veicināts iedzīvotāju aktīvāks dzīvesveids, kas pozitīvi ietekmēs iedzīvotāju veselības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Investīcijām ir netieša ietekme un horizontālo principu (HP) "Vienlīdzība, iekļaušana, nediskriminācija, un pamattiesību ievērošana" un tieša ietekme uz horizontālo principu "Klimatnodrošināšana", kā arī tiešā ietekme uz "Energoefektivitāte pirmajā vietā, nodrošinot energoefektīvā apgaismojuma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 horizontālo principu "Vienlīdzība, iekļaušana, nediskriminācija un pamattiesību ievērošana" un uzkrāj datus par projekta ietekmi uz horizontālā principa rādītāju - objektu skaitu, kuros ir nodrošināta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vērtēšanas kritēriji apstiprināti Eiropas Savienības fondu 2021.–2027.gada plānošanas perioda Uzraudzības komitejas rakstiskajā procedūrā ar 2024. gada 18. septembra lēmumu Nr. 5.2-3/16/35, kur kā viens no specifiskajiem atbilstības kritērijiem ir horizontālā principa "Vienlīdzība, iekļaušana, nediskriminācija un pamattiesību ievērošana"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Projektā ir paredzētas darbības, kas veicina horizontālā principa "Vienlīdzība, iekļaušana, nediskriminācija un pamattiesību ievērošanu"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iesniedzējam ir obligāti jāsniedz informācija par objektu skaitu, kuros ir nodrošināta vides un informācijas pieejamība (VINTI_18), citi izvēles rādītāji uzskaitīti minētajā kritēriju piemērošanas metodikā.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25-TA-77</w:t>
    </w:r>
    <w:r>
      <w:br/>
    </w:r>
    <w:r w:rsidR="00000000" w:rsidRPr="00000000" w:rsidDel="00000000">
      <w:rPr>
        <w:rtl w:val="0"/>
      </w:rPr>
      <w:t xml:space="preserve">Izdrukāts 30.07.2026. 00.02 - 5.0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25-TA-77</w:t>
    </w:r>
    <w:r>
      <w:br/>
    </w:r>
    <w:r w:rsidR="00000000" w:rsidRPr="00000000" w:rsidDel="00000000">
      <w:rPr>
        <w:rtl w:val="0"/>
      </w:rPr>
      <w:t xml:space="preserve">Izdrukāts 30.07.2026. 00.02 - 5.0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anotācija_(ex_ante)_25-TA-77.docx</dc:title>
</cp:coreProperties>
</file>

<file path=docProps/custom.xml><?xml version="1.0" encoding="utf-8"?>
<Properties xmlns="http://schemas.openxmlformats.org/officeDocument/2006/custom-properties" xmlns:vt="http://schemas.openxmlformats.org/officeDocument/2006/docPropsVTypes"/>
</file>