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ir nepieciešami, lai veiktu precizējumus Atveseļošanas un noturības mehānisma (turpmāk – AF)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(turpmāk – 3.1.2.1.i. investīcija) īstenošanas nosacījumos un ēku sarakstā.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582 īstenošanas nosacījumus un pielikumā esošo ēku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582 16.1. apakšpunktā ir minēts, ka projekta vadības izmaksas plāno kā vienu izmaksu pozīciju desmit procentu apmērā no pārējā attiecināmā AF finansējuma apmēra, savukārt 16.2. apakšpunktā minēts, ka vizuālās identitātes prasību nodrošināšanas izmaksas nepārsniedz vienu procentu no projektā attiecināmā AF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izmaksu plānojumu nav viennozīmīgi pateikts, no kāda finansējuma ir jāplāno izmaksas gan projekta vadības, gan vizuālās identitātes prasību nodrošināšanai, proti vienā gadījumā minēts, ka izmaksas ir rēķināmas no pārējā attiecināmā AF finansējuma apmēra (projekta vadības izmaksas), savukārt otrā – no projektā attiecināmā AF finansējuma apmēra (vizuālās identitātes prasību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MK noteikumu Nr. 582 (tai skaitā ar pielikumā esošā ēku, kurās veic investīcijas ieguldījumus, saraksta) apstiprināšanu tika sasniegts 3.1.2.1.i. investīcijas 112. atskaites punkts par valsts un pašvaldību ēku izvēli, kurās jāveic pasākumā paredzētie vides pielāgojumi. Attiecīgi tika noteiktas konkrētas 63 ēkas, kurās paredzēts veikt pasākumus vides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ir saņēmusi 3.1.2.1.i. investīcijas finansējuma saņēmēja – Valsts sabiedrības ar ierobežotu atbildību "Šampētera nams" (turpmāk – VSIA "Šampētera nams") 08.05.2024. vēstuli Nr. 1-15/54 par atteikšanos divās ēkās – Vaļņu ielā 13, Cēsīs LV-4101 un Lāčplēša ielā 70 A, Rīgā, LV-1011, turpmāk īstenot 3.1.2.1.i.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Balvu novada pašvaldības ir saņemta 24.05.2024. vēstule Nr. BNP/2024/6.361/1839/N ar lūgumu iekļaut 3.1.2.1.i. investīcijā jaunu ēku – Raiņa ielā 52, Balvos, LV-4501 un no Bauskas novada pašvaldības ir saņemta 23.05.2024. vēstule Nr. BNP/2024/15.9.1/739/N ar lūgumu iekļaut jaunu ēku 3.1.2.1.i. investīcijas atbalsta saņemšanai – Bauskas ielā 2, Uzvarā, Gailīšu pagastā, Bauskas novadā, LV-3931.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attiecībā uz izmaksu ierobežojumiem nav vienādi nosacījumi, t.i., ka tos rēķina no projektam attiecināmā AF finansējuma apmēra, pastāv interpretācijas risks gan 3.1.2.1.i. investīcijas finansējuma saņēmējiem projekta izmaksu pareizā saplānošanā, gan arī Centrālajai finanšu un līgumu aģentūrai (turpmāk – CFLA) projekta maksājumu pieprasījumu pārbaudē. Papildus MK noteikumu Nr. 582 anotācijā, kas pievienota 2022. gada 20. septembrī MK sēdē izskatītajiem  MK noteikumiem Nr. 582, aprakstīts (t.sk. sniegts apraksts vienotās likmes apmēra aprēķinam), ka projekta vadības izmaksām piemērojama vienotā likme un ka tā 10 procentu apmērā noteikta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punktā noteiktajai vienkāršoto izmaksu pieejai. Taču MK noteikumu Nr. 582 16.1. apakšpunkts satur tikai norādes, ka projekta vadības izmaksām piemērojama vienotā likme, t.i. ir noteikts, ka šīs izmaksas plāno kā vienu izmaksu pozīciju. Tas rada MK noteikumu Nr. 582 16.1. apakšpunkta nepareizas interpretācijas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3.1.2.1.i. investīcijas finansējuma saņēmēji savās vēstulēs min pamatojumu, kas skaidro ēku izslēgšanu vai jaunu ēku iekļaušanu 3.1.2.1.i. investīcijā: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ēkā Vaļņu ielā 13, Cēsīs LV-4101 turpmāk nav iespējams īstenot 3.1.2.1.i. investīcijas projektu ēkas kopīpašuma juridisko jautājumu problēmu dēļ, kā arī ēkā neplāno vairs sniegt labklājības nozares valsts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ēkā Lāčplēša ielā 70A, Rīgā, LV-1011 turpmāk nav iespējams īstenot 3.1.2.1.i. investīcijas projektu, ņemot vērā, ka Valsts sociālas apdrošināšanas aģentūra plāno atteikties no telpu izmantošanas un klientu apkalpošanas ēkā, tai skaitā ņemot vērā ēkas specifiku (t.i, ir saņemts nodibinājuma Invalīdu un viņu draugu apvienības "Apeirons" atzinums ka šobrīd iekļūt ēkā cilvēkiem ar būtiskiem kustību traucējumiem iespējams tikai ēkas pirmā stāva vienā telpā – klientu apkalpošanas telpā, bet pārējā ēkā cilvēkiem ar būtiskiem kustību traucējumiem iekļūt nav iespējams) ir konstatēts būtisks risks sasniegt ēkas pašnovērtējuma anketā norādītās minimālās vides pieejamības prasības, kas nodrošināmas 3.1.2.1.i. investīcijas projektu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ēka Raiņa ielā 52, Balvos, LV-4501 un ēka Bauskas ielā 2, Uzvarā, Gailīšu pagastā, Bauskas novadā, LV-3931 tiek piedāvātas iekļaušanai 3.1.2.1.i. investīcijas projektā, jo tās atbilst 3.1.2.1.i. investīcijas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 ēkās Vaļņu ielā 13, Cēsīs LV-4101 un Lāčplēša ielā 70A, Rīgā, LV-1011 3.1.2.1.i. investīcijas pasākuma ietvaros nav veikti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582 16.1. apakšpunktā veikt tehniskus grozījumus, precizējot, ka finansējuma saņēmējs projekta vadības izmaksas plāno, piemērojot vienoto likmi 10 procentu apmērā, no projektā attiecināmā Atveseļošanas fonda finansējuma apmēra, kas nav projekta vadības personāla atlīdzības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ēkā Vaļņu ielā 13, Cēsīs LV-4101 un ēkā Lāčplēša ielā 70A, Rīgā, LV-1011 turpmāk vairs nav iespējams īstenot 3.1.2.1.i. investīcijas projektus, no MK noteikumu Nr. 582 pielikumā esošā ēku saraksta tiek svītrots MK noteikumu Nr. 582 pielikuma 29. un 33.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VSIA "Šampētera nams" nepiedāvā līdzvērtīgas un AF finansējuma saņemšanai atbilstošas papildu ēkas iekļaušanai MK noteikumu Nr. 582 pielikumā to ēku vietā, kas no saraksta ir svītrojamas. Līdz ar to MK noteikumu Nr. 582 pielikumā tiek iekļautas jaunas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Balvu novada pašvaldības ēka Raiņa ielā 52, Balvos, LV-4501, kurā atrodas Balvu novada Sociālā pārvalde, kura sniedz pašvaldības sociālos pakalpojumus un ir reģistrēta sociālo pakalpojumu sniedzēju reģistrā ar Nr. 536. Tāpat ēka ir Balvu novada pašvaldības īpašums, kurā veiktais ēkas pašnovērtējums, izmantojot 2022. gada pašnovērtējuma veidlapu, ir "2,721", un kurā pēdējo piecu gadu laikā nav veikti vides pielāgojumi, kas plānoti 3.1.2.1.i.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Bauskas novada pašvaldības ēka Bauskas ielā 2, Uzvarā, Gailīšu pagastā, Bauskas novadā, LV-3931, kurā atrodas Bauskas novada Sociālā dienesta attālinātais klientu apkalpošanas punkts, kurā sniedz pašvaldības sociālos pakalpojumus, kas ir reģistrēts sociālo pakalpojumu sniedzēju reģistrā ar Nr. 689. Tāpat ēka ir Bauskas novada pašvaldības īpašums, kurā veiktais ēkas pašnovērtējums, izmantojot 2022. gada pašnovērtējuma veidlapu, ir "1,295", un kurā pēdējo piecu gadu laikā nav veikti vides pielāgojumi, kas plānoti 3.1.2.1.i. investīcijas ietvaros. Vienlaikus ir konstatēts, ka dati par ēkas adresi nesakrīt interneta vietnēs www.kadastrs.lv (t.i. ēkas adrese ir Bauskas ielā 2, Uzvara, Gailīšu pagasts, Bauskas novads, LV-3931) un www.zemesgrāmata.lv (t.i. ēkas adrese ir "Pagastmāja" Gailīšu pagasts, Bauskas novadā, LV-3931), kaut arī abās vietnēs sakrīt ēkas kadastra numurs – 40600070220 un ēkas kadastra apzīmējuma numurs – 40600070220001. Atbilstoši Bauskas novada pašvaldības sniegtajai informācijai, ir iesniegts pieprasījums Zemgales rajona tiesas zemesgrāmatas nodaļai ar lūgumu veikt tehniskus precizējumus ēkas adresē (pamatojoties uz Bauskas rajona Gailīšu pagasta padomes 2007. gada 27. septembra lēmumu par adreses maiņu), līdz ar to, precizējot ēkas adresi Valsts vienotās datorizētās zemesgrāmatas datos, nodrošinot ēkas datu atbilstību esošai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MK noteikumu Nr. 582 pielikumā nav pretrunā ar apliecinājumu, kas iesniegts Eiropas Komisijai, sagatavojot Cover note par AF 112. atskaites punkta "to valsts un pašvaldību ēku izvēle, kurās jāveic vides pielāgojumi" izpildi (izpildes termiņš 31.03.2022.), jo ar veiktajām izmaiņām tiek uzturēta sasniegtā 3.1.2.1.i. investīcijas atskaites punkta vērtība – ir atlasītas 63 ēkas, kurās investīcijas ietvaros tiks veikti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noteikumu Nr. 582 grozījumu spēkā stāšanās būs nepieciešams veikt grozījumus Balvu novada pašvaldības un Bauskas novada pašvaldības vienošanās par projekta īstenošanu, kā arī VSIA "Šampētera nams" līgumā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nākamais, sekojošais 113. atskaites punkts “līgumu slēgšanas tiesību piešķiršana, lai nodrošinātu piekļuvi publiskām telpām valsts un pašvaldību ēkās” ir sasniedzams līdz 2024. gada 30. jūnijam, ir nepieciešams pēc iespējas ātrāk uzsākt darbības abu ēku vides pielāgošanai. Tāpēc Labklājības ministrija aicinās Balvu novada pašvaldības un Bauskas novada pašvaldības aicinās pirms MK noteikumu Nr. 582 grozījumu spēkā stāšanās uzsākt nepieciešamās darbības 3.1.2.1.i. investīcijas pasākuma īstenošanai, t.i., izstrādāt projekta īstenošanu pamatojošo dokumentāciju, īstenot iepirkumu ēku pielāgošanas darbiem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ir būtiski un nepieciešami 3.1.2.1.i. investīcijas mērķa, kā arī sasniedzamo rezultātu un mērķrādītāju  sasniegšanai. Taču tie neietekmē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izmaiņas MK noteikumu Nr. 582 pielikumā noteiktajā ēku sarakstā iniciējuši paši finansējuma saņēmēji, tie ir informēti, ka tiem jāsedz pievienotās vērtības nodoklis un projektā jāparedz papildu pašvaldības finansējums (Bauskas novadam un Balvu novadam) vai arī, ka pievienotās vērtības nodokļa finansējums samazināsies atbilstoši projektā paredzētajam ēku skaitam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2023. gada nogalē tika apstiprināti AF plāna grozījumi saistībā ar 3.1.2.1.i. investīcijas pirmās kārtas finansējuma palielinājumu, nepieciešams precizēt MK noteikumu Nr. 582 11. punktā norādīto informāciju par 3.1.2.1.i. investīcijai pieejamo finansējumu, jo vairs nav nepieciešams noteikt kārtību AF papildus finansējuma pieejamībai līdz Eiropas Komisijas pozitīvam lēmumam par AF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mainās 3.1.2.1.i. investīcijas pirmās kārtas pasākuma valsts ēku skaits (samazinoties par divām VSIA "Šampētera nams" ēkām), samazināsies valsts budžeta izdevumi pievienotās vērtības nodokļa segšanai indikatīvi 65 055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16.1. apakšpunktā ietekmē finansējuma saņēmējus gadījumā, ja būs nepieciešams veikt tehniskus grozījumus projektā budžetā starp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Nr. 582 pielikuma precizējumiem, tad tie ietekmē divas pašvaldības – Balvu novada pašvaldību un Bauskas novada pašvaldību, kā arī VSIA "Šampētera nams", jo tiem kā 3.1.2.1.i. investīcijas finansējuma saņēmējām ir saistoši šie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pielikumā, notiek ēku skaita izmaiņas Balvu novada pašvaldības, Bauskas novada pašvaldības un VSIA "Šampētera nams" projektos, kas ietekmē arī šo finansējuma saņēmēju īstenoto projektu finansējumu, t.i., Balvu novada pašvaldībai un Bauskas novada pašvaldībai AF finansējums palielinās attiecīgi par vienu ēku, savukārt VSIA "Šampētera nams" – samazinās par divām ēkām.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2 927 459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2 927 459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3 542 225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697 626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2 361 483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3 054 315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592 814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4 072 420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2 036 210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487 910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-614 766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-819 688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-487 910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-121 076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MK noteikumu Nr. 582 grozījumiem, 3.1.2.1.i. investīcijas pirmās kārtas pasākumu paredzēts īstenot 63 ēkās, no kurām 52 ēku īpašnieki un finansējuma saņēmēji ir pašvaldības (PVN sedz paši) un 11 ēku īpašnieki un finansējuma saņēmēji ir valsts akciju sabiedrība "Valsts nekustamie īpašumi" un valsts sabiedrība ar ierobežotu atbildību "Šampētera nams" (PVN tiek segts no valsts budžeta).</w:t>
            </w:r>
            <w:r w:rsidR="00000000" w:rsidRPr="00000000" w:rsidDel="00000000">
              <w:rPr>
                <w:sz w:val="24"/>
                <w:rtl w:val="0"/>
              </w:rPr>
              <w:t xml:space="preserve">Ņemot vērā, ka ar MK noteikumu projektā veiktajiem grozījumiem, mainās 3.1.2.1.i. investīcijas pirmās kārtas pasākuma pašvaldību ēku skaits (palielinoties par 2 ēkām), savukārt valsts sabiedrības ar ierobežotu atbildību "Šampētera nams" ēku skaits samazinās par 2 ēkām, tad mainās arī ietekme uz valsts budžetu (samazinoties valsts budžeta izdevumiem (PVN) par divām ēkām un palielinoties pašvaldību budžeta izdevumiem (PVN apmaksai) par divām ēkām).</w:t>
            </w:r>
            <w:r w:rsidR="00000000" w:rsidRPr="00000000" w:rsidDel="00000000">
              <w:rPr>
                <w:sz w:val="24"/>
                <w:rtl w:val="0"/>
              </w:rPr>
              <w:t xml:space="preserve">Līdz ar to arī MK noteikumu Nr. 582 11. punktā arī tiek precizēts 3.1.2.1.i. investīcijas pirmās kārtas pasākumam plānotais valsts budžeta finansējums – </w:t>
            </w:r>
            <w:r w:rsidR="00000000" w:rsidRPr="00000000" w:rsidDel="00000000">
              <w:rPr>
                <w:sz w:val="24"/>
                <w:b w:val="1"/>
                <w:rtl w:val="0"/>
              </w:rPr>
              <w:t xml:space="preserve">357 800 </w:t>
            </w:r>
            <w:r w:rsidR="00000000" w:rsidRPr="00000000" w:rsidDel="00000000">
              <w:rPr>
                <w:sz w:val="24"/>
                <w:b w:val="1"/>
                <w:i w:val="1"/>
                <w:rtl w:val="0"/>
              </w:rPr>
              <w:t xml:space="preserve">euro</w:t>
            </w:r>
            <w:r w:rsidR="00000000" w:rsidRPr="00000000" w:rsidDel="00000000">
              <w:rPr>
                <w:sz w:val="24"/>
                <w:b w:val="1"/>
                <w:rtl w:val="0"/>
              </w:rPr>
              <w:t xml:space="preserve">, kas veikto izmaiņu gadījumā samazinās par 65 055 </w:t>
            </w:r>
            <w:r w:rsidR="00000000" w:rsidRPr="00000000" w:rsidDel="00000000">
              <w:rPr>
                <w:sz w:val="24"/>
                <w:b w:val="1"/>
                <w:i w:val="1"/>
                <w:rtl w:val="0"/>
              </w:rPr>
              <w:t xml:space="preserve">euro</w:t>
            </w:r>
            <w:r w:rsidR="00000000" w:rsidRPr="00000000" w:rsidDel="00000000">
              <w:rPr>
                <w:sz w:val="24"/>
                <w:b w:val="1"/>
                <w:rtl w:val="0"/>
              </w:rPr>
              <w:t xml:space="preserve"> (422 855 </w:t>
            </w:r>
            <w:r w:rsidR="00000000" w:rsidRPr="00000000" w:rsidDel="00000000">
              <w:rPr>
                <w:sz w:val="24"/>
                <w:b w:val="1"/>
                <w:i w:val="1"/>
                <w:rtl w:val="0"/>
              </w:rPr>
              <w:t xml:space="preserve">euro</w:t>
            </w:r>
            <w:r w:rsidR="00000000" w:rsidRPr="00000000" w:rsidDel="00000000">
              <w:rPr>
                <w:sz w:val="24"/>
                <w:b w:val="1"/>
                <w:rtl w:val="0"/>
              </w:rPr>
              <w:t xml:space="preserve"> – 65 055 </w:t>
            </w:r>
            <w:r w:rsidR="00000000" w:rsidRPr="00000000" w:rsidDel="00000000">
              <w:rPr>
                <w:sz w:val="24"/>
                <w:b w:val="1"/>
                <w:i w:val="1"/>
                <w:rtl w:val="0"/>
              </w:rPr>
              <w:t xml:space="preserve">euro</w:t>
            </w:r>
            <w:r w:rsidR="00000000" w:rsidRPr="00000000" w:rsidDel="00000000">
              <w:rPr>
                <w:sz w:val="24"/>
                <w:b w:val="1"/>
                <w:rtl w:val="0"/>
              </w:rPr>
              <w:t xml:space="preserve">).</w:t>
            </w:r>
            <w:r w:rsidR="00000000" w:rsidRPr="00000000" w:rsidDel="00000000">
              <w:rPr>
                <w:sz w:val="24"/>
                <w:vertAlign w:val="superscript"/>
                <w:rtl w:val="0"/>
              </w:rPr>
              <w:t xml:space="preserve">                                                                                                                                                                             1.tab. ANM finansējuma izlietojums valsts un pašvaldības budžetā, </w:t>
            </w:r>
            <w:r w:rsidR="00000000" w:rsidRPr="00000000" w:rsidDel="00000000">
              <w:rPr>
                <w:sz w:val="24"/>
                <w:i w:val="1"/>
                <w:vertAlign w:val="superscript"/>
                <w:rtl w:val="0"/>
              </w:rPr>
              <w:t xml:space="preserve">euro</w:t>
            </w:r>
            <w:r w:rsidR="00000000" w:rsidRPr="00000000" w:rsidDel="00000000">
              <w:rPr>
                <w:sz w:val="24"/>
                <w:b w:val="1"/>
                <w:vertAlign w:val="superscript"/>
                <w:rtl w:val="0"/>
              </w:rPr>
              <w:t xml:space="preserve">1.1. Plāns</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0"/>
              <w:gridCol w:w="878"/>
              <w:gridCol w:w="1344"/>
              <w:gridCol w:w="1217"/>
              <w:gridCol w:w="1154"/>
              <w:gridCol w:w="1143"/>
              <w:tblGridChange w:id="0">
                <w:tblGrid>
                  <w:gridCol w:w="1610"/>
                  <w:gridCol w:w="878"/>
                  <w:gridCol w:w="1344"/>
                  <w:gridCol w:w="1217"/>
                  <w:gridCol w:w="1154"/>
                  <w:gridCol w:w="114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Ēku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1 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kopā</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r>
            <w:tr>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1</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2</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4=2x3</w:t>
                  </w:r>
                </w:p>
              </w:tc>
              <w:tc>
                <w:tcPr>
                  <w:shd w:fill="ffcc66"/>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5=4x0.21</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6=4+5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7 744 600</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9 370 966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2 013 596</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2 436 451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9 758 196</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2 049 221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11 807 417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1.2. Izmaiņas:</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7"/>
              <w:gridCol w:w="878"/>
              <w:gridCol w:w="1320"/>
              <w:gridCol w:w="1265"/>
              <w:gridCol w:w="1165"/>
              <w:gridCol w:w="1122"/>
              <w:tblGridChange w:id="0">
                <w:tblGrid>
                  <w:gridCol w:w="1597"/>
                  <w:gridCol w:w="878"/>
                  <w:gridCol w:w="1320"/>
                  <w:gridCol w:w="1265"/>
                  <w:gridCol w:w="1165"/>
                  <w:gridCol w:w="112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Ēku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1 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kopā</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r>
            <w:tr>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1</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2</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4=2x3</w:t>
                  </w:r>
                </w:p>
              </w:tc>
              <w:tc>
                <w:tcPr>
                  <w:shd w:fill="ffcc66"/>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5=4x0.21</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6=4+5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309 784</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-309 784</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Izdevumi/ izmaiņas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vertAlign w:val="superscript"/>
                <w:rtl w:val="0"/>
              </w:rPr>
              <w:t xml:space="preserve">1.3. Ar izmaiņām: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4"/>
              <w:gridCol w:w="866"/>
              <w:gridCol w:w="1340"/>
              <w:gridCol w:w="1241"/>
              <w:gridCol w:w="1197"/>
              <w:gridCol w:w="1108"/>
              <w:tblGridChange w:id="0">
                <w:tblGrid>
                  <w:gridCol w:w="1594"/>
                  <w:gridCol w:w="866"/>
                  <w:gridCol w:w="1340"/>
                  <w:gridCol w:w="1241"/>
                  <w:gridCol w:w="1197"/>
                  <w:gridCol w:w="110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Ēku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1 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finansējums kopā</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PVN, 21%</w:t>
                  </w:r>
                </w:p>
              </w:tc>
              <w:tc>
                <w:tcPr>
                  <w:shd w:fill="339900"/>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r>
            <w:tr>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1</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2</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3</w:t>
                  </w:r>
                </w:p>
              </w:tc>
              <w:tc>
                <w:tcPr>
                  <w:shd w:fill="ffffff"/>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4=2x3</w:t>
                  </w:r>
                </w:p>
              </w:tc>
              <w:tc>
                <w:tcPr>
                  <w:shd w:fill="ffcc66"/>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5=4x0.21</w:t>
                  </w:r>
                </w:p>
              </w:tc>
              <w:tc>
                <w:tcPr>
                  <w:shd w:fill="339900"/>
                  <w:vAlign w:val="center"/>
                  <w:trHeight w="exact" w:val="0"/>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vertAlign w:val="superscript"/>
                      <w:rtl w:val="0"/>
                    </w:rPr>
                    <w:t xml:space="preserve">6=4+5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8 054 384</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1 691 421</w:t>
                  </w:r>
                </w:p>
              </w:tc>
              <w:tc>
                <w:tcPr>
                  <w:shd w:fill="339900"/>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9 745 805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1 703 812</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357 800</w:t>
                  </w:r>
                </w:p>
              </w:tc>
              <w:tc>
                <w:tcPr>
                  <w:shd w:fill="339900"/>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2 061 612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154 892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9 758 196</w:t>
                  </w:r>
                </w:p>
              </w:tc>
              <w:tc>
                <w:tcPr>
                  <w:shd w:fill="ffcc66"/>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2 049 221</w:t>
                  </w:r>
                </w:p>
              </w:tc>
              <w:tc>
                <w:tcPr>
                  <w:shd w:fill="339900"/>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11 807 417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plānam:</w:t>
            </w:r>
            <w:r w:rsidR="00000000" w:rsidRPr="00000000" w:rsidDel="00000000">
              <w:rPr>
                <w:sz w:val="24"/>
                <w:rtl w:val="0"/>
              </w:rPr>
              <w:t xml:space="preserve">2023.gadā ANM finansējums bija 975 820 </w:t>
            </w:r>
            <w:r w:rsidR="00000000" w:rsidRPr="00000000" w:rsidDel="00000000">
              <w:rPr>
                <w:sz w:val="24"/>
                <w:i w:val="1"/>
                <w:rtl w:val="0"/>
              </w:rPr>
              <w:t xml:space="preserve">euro</w:t>
            </w:r>
            <w:r w:rsidR="00000000" w:rsidRPr="00000000" w:rsidDel="00000000">
              <w:rPr>
                <w:sz w:val="24"/>
                <w:rtl w:val="0"/>
              </w:rPr>
              <w:t xml:space="preserve">, neizlietotā daļa (kuru tagad pārceļ uz 2024.gadu) ir 576 550 </w:t>
            </w:r>
            <w:r w:rsidR="00000000" w:rsidRPr="00000000" w:rsidDel="00000000">
              <w:rPr>
                <w:sz w:val="24"/>
                <w:i w:val="1"/>
                <w:rtl w:val="0"/>
              </w:rPr>
              <w:t xml:space="preserve">euro</w:t>
            </w:r>
            <w:r w:rsidR="00000000" w:rsidRPr="00000000" w:rsidDel="00000000">
              <w:rPr>
                <w:sz w:val="24"/>
                <w:rtl w:val="0"/>
              </w:rPr>
              <w:t xml:space="preserve">, izlietots ANM finansējums 2023.gadā 399 270 </w:t>
            </w:r>
            <w:r w:rsidR="00000000" w:rsidRPr="00000000" w:rsidDel="00000000">
              <w:rPr>
                <w:sz w:val="24"/>
                <w:i w:val="1"/>
                <w:rtl w:val="0"/>
              </w:rPr>
              <w:t xml:space="preserve">euro.</w:t>
            </w:r>
            <w:r w:rsidR="00000000" w:rsidRPr="00000000" w:rsidDel="00000000">
              <w:rPr>
                <w:sz w:val="24"/>
                <w:vertAlign w:val="superscript"/>
                <w:rtl w:val="0"/>
              </w:rPr>
              <w:t xml:space="preserve">                                                                                                                                                                                      2.tab. ANM finansējuma izlietojums un atlikums 2023. gadā, </w:t>
            </w:r>
            <w:r w:rsidR="00000000" w:rsidRPr="00000000" w:rsidDel="00000000">
              <w:rPr>
                <w:sz w:val="24"/>
                <w:i w:val="1"/>
                <w:vertAlign w:val="superscript"/>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595"/>
              <w:gridCol w:w="4595"/>
              <w:gridCol w:w="4595"/>
              <w:gridCol w:w="4595"/>
              <w:tblGridChange w:id="0">
                <w:tblGrid>
                  <w:gridCol w:w="4595"/>
                  <w:gridCol w:w="4595"/>
                  <w:gridCol w:w="4595"/>
                  <w:gridCol w:w="4595"/>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Neizlietotā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1.ANM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975 820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576 550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Izdevumi KOPĀ,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1 180 743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483 117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pašvaldības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PVN, 21%.,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-204 923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pašvaldības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x</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*2023.gadā PVN maksājums no valsts pamatbudžeta nav bijis. 2023. gadā izlietotais ANM finansējums 399 270</w:t>
            </w:r>
            <w:r w:rsidR="00000000" w:rsidRPr="00000000" w:rsidDel="00000000">
              <w:rPr>
                <w:sz w:val="24"/>
                <w:i w:val="1"/>
                <w:rtl w:val="0"/>
              </w:rPr>
              <w:t xml:space="preserve"> euro</w:t>
            </w:r>
            <w:r w:rsidR="00000000" w:rsidRPr="00000000" w:rsidDel="00000000">
              <w:rPr>
                <w:sz w:val="24"/>
                <w:rtl w:val="0"/>
              </w:rPr>
              <w:t xml:space="preserve"> un PVN maksājums 83 847 </w:t>
            </w:r>
            <w:r w:rsidR="00000000" w:rsidRPr="00000000" w:rsidDel="00000000">
              <w:rPr>
                <w:sz w:val="24"/>
                <w:i w:val="1"/>
                <w:rtl w:val="0"/>
              </w:rPr>
              <w:t xml:space="preserve">euro</w:t>
            </w:r>
            <w:r w:rsidR="00000000" w:rsidRPr="00000000" w:rsidDel="00000000">
              <w:rPr>
                <w:sz w:val="24"/>
                <w:rtl w:val="0"/>
              </w:rPr>
              <w:t xml:space="preserve"> no pašvaldību budžeta.</w:t>
            </w:r>
            <w:r w:rsidR="00000000" w:rsidRPr="00000000" w:rsidDel="00000000">
              <w:rPr>
                <w:sz w:val="24"/>
                <w:rtl w:val="0"/>
              </w:rPr>
              <w:t xml:space="preserve">Pārējos 3.1.2.1.i. investīcijas pirmās kārtas pasākuma īstenošanas gados finansējums mainās saistībā ar ēku skaita proporciju maiņu. Pašvaldību ēku skaits palielinās par divām ēkām, kas nozīmē, ka palielinās pašvaldību izdevumi PVN segšanai, savukārt ietekme uz valsts budžetu  samazinās, jo samazinās to ēku skaits, kam PVN finansē no valsts budžeta.</w:t>
            </w:r>
            <w:r w:rsidR="00000000" w:rsidRPr="00000000" w:rsidDel="00000000">
              <w:rPr>
                <w:sz w:val="24"/>
                <w:vertAlign w:val="superscript"/>
                <w:rtl w:val="0"/>
              </w:rPr>
              <w:t xml:space="preserve">                                                                                                            3.tab. ANM plānotais finansējums valsts un pašvaldību ēku vides pieejamības nodrošināšanai 2023.-2026. gadā, </w:t>
            </w:r>
            <w:r w:rsidR="00000000" w:rsidRPr="00000000" w:rsidDel="00000000">
              <w:rPr>
                <w:sz w:val="24"/>
                <w:i w:val="1"/>
                <w:vertAlign w:val="superscript"/>
                <w:rtl w:val="0"/>
              </w:rPr>
              <w:t xml:space="preserve">euro</w:t>
            </w:r>
            <w:r w:rsidR="00000000" w:rsidRPr="00000000" w:rsidDel="00000000">
              <w:rPr>
                <w:sz w:val="24"/>
                <w:b w:val="1"/>
                <w:vertAlign w:val="superscript"/>
                <w:rtl w:val="0"/>
              </w:rPr>
              <w:t xml:space="preserve">3.1. Pirms izmaiņām: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tblGridChange w:id="0">
                <w:tblGrid>
                  <w:gridCol w:w="8100"/>
                  <w:gridCol w:w="8100"/>
                  <w:gridCol w:w="8100"/>
                  <w:gridCol w:w="8100"/>
                  <w:gridCol w:w="8100"/>
                  <w:gridCol w:w="8100"/>
                </w:tblGrid>
              </w:tblGridChange>
            </w:tblGrid>
            <w:tr>
              <w:tc>
                <w:tcPr>
                  <w:shd w:fill="cccccc"/>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plānotais finansējums valsts un pašvaldību ēku vides pieejamības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Plāns</w:t>
                  </w:r>
                </w:p>
              </w:tc>
            </w:tr>
            <w:tr>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10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30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40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20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Valsts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805 438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402 719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2 013 596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Pašvaldību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774 460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2 323 380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3 097 840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1 548 920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7 744 600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975 820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2 927 459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9 758 196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vertAlign w:val="superscript"/>
                <w:rtl w:val="0"/>
              </w:rPr>
              <w:t xml:space="preserve">3.2. Izmaiņas:</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tblGridChange w:id="0">
                <w:tblGrid>
                  <w:gridCol w:w="8100"/>
                  <w:gridCol w:w="8100"/>
                  <w:gridCol w:w="8100"/>
                  <w:gridCol w:w="8100"/>
                  <w:gridCol w:w="8100"/>
                  <w:gridCol w:w="8100"/>
                </w:tblGrid>
              </w:tblGridChange>
            </w:tblGrid>
            <w:tr>
              <w:tc>
                <w:tcPr>
                  <w:shd w:fill="cccccc"/>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plānotais finansējums valsts un pašvaldību ēku vides pieejamības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-5.9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5.9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Valsts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-61 957</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-309 784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Pašvaldību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61 957</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309 784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vertAlign w:val="superscript"/>
                <w:rtl w:val="0"/>
              </w:rPr>
              <w:t xml:space="preserve">3.3. Ar izmaiņām: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tblGridChange w:id="0">
                <w:tblGrid>
                  <w:gridCol w:w="8100"/>
                  <w:gridCol w:w="8100"/>
                  <w:gridCol w:w="8100"/>
                  <w:gridCol w:w="8100"/>
                  <w:gridCol w:w="8100"/>
                  <w:gridCol w:w="8100"/>
                </w:tblGrid>
              </w:tblGridChange>
            </w:tblGrid>
            <w:tr>
              <w:tc>
                <w:tcPr>
                  <w:shd w:fill="cccccc"/>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ANM plānotais finansējums valsts un pašvaldību ēku vides pieejamības nodrošināšanai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 Plāns</w:t>
                  </w:r>
                </w:p>
              </w:tc>
            </w:tr>
            <w:tr>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4.1</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35.9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40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20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i w:val="1"/>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Valsts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681 525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681 525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340 762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1 703 812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Pašvaldību ēkas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2 822 484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3 221 753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1 610 877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8 054 384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i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3 504 009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1 951 639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9 758 196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vertAlign w:val="superscript"/>
                <w:rtl w:val="0"/>
              </w:rPr>
              <w:t xml:space="preserve">                                                                                                                                                                                                        4.tab. Izdevumu sadalījums 2023.-2026. gadā, </w:t>
            </w:r>
            <w:r w:rsidR="00000000" w:rsidRPr="00000000" w:rsidDel="00000000">
              <w:rPr>
                <w:sz w:val="24"/>
                <w:i w:val="1"/>
                <w:vertAlign w:val="superscript"/>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17"/>
              <w:gridCol w:w="3932"/>
              <w:gridCol w:w="3932"/>
              <w:gridCol w:w="3932"/>
              <w:gridCol w:w="3932"/>
              <w:gridCol w:w="3932"/>
              <w:tblGridChange w:id="0">
                <w:tblGrid>
                  <w:gridCol w:w="4017"/>
                  <w:gridCol w:w="3932"/>
                  <w:gridCol w:w="3932"/>
                  <w:gridCol w:w="3932"/>
                  <w:gridCol w:w="3932"/>
                  <w:gridCol w:w="3932"/>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cccccc"/>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ANM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975 820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2 927 459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9 758 196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Budžeta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1 180 743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3 542 225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4 722 966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2 361 483</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11 807 417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3 054 315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4 072 420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2 036 210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10 181 051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487 910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325 273</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1 626 366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PVN maksājumi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204 923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614 766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819 688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409 844</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2 049 221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84 571</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422 855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487 910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325 273</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1 626 366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vertAlign w:val="superscript"/>
                <w:rtl w:val="0"/>
              </w:rPr>
              <w:t xml:space="preserve">                                                                                                                                                                                                             5.tab. Izdevumu izmaiņas2023.-2026. gadā, </w:t>
            </w:r>
            <w:r w:rsidR="00000000" w:rsidRPr="00000000" w:rsidDel="00000000">
              <w:rPr>
                <w:sz w:val="24"/>
                <w:i w:val="1"/>
                <w:vertAlign w:val="superscript"/>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17"/>
              <w:gridCol w:w="3932"/>
              <w:gridCol w:w="3932"/>
              <w:gridCol w:w="3932"/>
              <w:gridCol w:w="3932"/>
              <w:gridCol w:w="3932"/>
              <w:tblGridChange w:id="0">
                <w:tblGrid>
                  <w:gridCol w:w="4017"/>
                  <w:gridCol w:w="3932"/>
                  <w:gridCol w:w="3932"/>
                  <w:gridCol w:w="3932"/>
                  <w:gridCol w:w="3932"/>
                  <w:gridCol w:w="3932"/>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cccccc"/>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Izmaiņas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ANM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Budžeta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-697 626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697 626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592 814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PVN maksājumi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-121 076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121 076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13 011</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vertAlign w:val="superscript"/>
                <w:rtl w:val="0"/>
              </w:rPr>
              <w:t xml:space="preserve">                                                                                                                                                               6.tab. Izdevumu sadalījums PRECIZĒTS 2023.-2026. gadā (4.tab. + 5.tab.), </w:t>
            </w:r>
            <w:r w:rsidR="00000000" w:rsidRPr="00000000" w:rsidDel="00000000">
              <w:rPr>
                <w:sz w:val="24"/>
                <w:i w:val="1"/>
                <w:vertAlign w:val="superscript"/>
                <w:rtl w:val="0"/>
              </w:rPr>
              <w:t xml:space="preserve">euro</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31"/>
              <w:gridCol w:w="1431"/>
              <w:gridCol w:w="1431"/>
              <w:gridCol w:w="1431"/>
              <w:gridCol w:w="1431"/>
              <w:gridCol w:w="1431"/>
              <w:tblGridChange w:id="0">
                <w:tblGrid>
                  <w:gridCol w:w="1431"/>
                  <w:gridCol w:w="1431"/>
                  <w:gridCol w:w="1431"/>
                  <w:gridCol w:w="1431"/>
                  <w:gridCol w:w="1431"/>
                  <w:gridCol w:w="143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2026.gads</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Plāns</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Plāns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ANM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3 504 009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3 903 278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1 951 639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9 758 196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Budžeta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483 117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4 239 851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4 722 966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2 361 483</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11 807 417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3 647 129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4 046 398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2 023 199</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10 115 996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592 722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338 284</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1 691 421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PVN maksājumi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735 842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819 688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409 844</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2 049 221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143 120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143 120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71 560</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592 722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338 284</w:t>
                  </w:r>
                </w:p>
              </w:tc>
              <w:tc>
                <w:tcPr>
                  <w:shd w:fill="cccccc"/>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1 691 421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nepieciešamais finansējums plānots Finanšu ministrijas valsts budžeta apakšprogrammā 74.07.00 “Atveseļošanas un noturības mehānisma (ANM) finansējums projektu un pasākumu īstenotājiem”.</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tehniskie grozījumi MK noteikumos Nr. 582 tieši neietekmē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Finansējuma saņēmēji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24-TA-1420</w:t>
    </w:r>
    <w:r>
      <w:br/>
    </w:r>
    <w:r w:rsidR="00000000" w:rsidRPr="00000000" w:rsidDel="00000000">
      <w:rPr>
        <w:rtl w:val="0"/>
      </w:rPr>
      <w:t xml:space="preserve">Izdrukāts 29.07.2026. 21.40 - 4.0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24-TA-1420</w:t>
    </w:r>
    <w:r>
      <w:br/>
    </w:r>
    <w:r w:rsidR="00000000" w:rsidRPr="00000000" w:rsidDel="00000000">
      <w:rPr>
        <w:rtl w:val="0"/>
      </w:rPr>
      <w:t xml:space="preserve">Izdrukāts 29.07.2026. 21.40 - 4.0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anotācija_(ex_ante)_24-TA-1420.docx</dc:title>
</cp:coreProperties>
</file>

<file path=docProps/custom.xml><?xml version="1.0" encoding="utf-8"?>
<Properties xmlns="http://schemas.openxmlformats.org/officeDocument/2006/custom-properties" xmlns:vt="http://schemas.openxmlformats.org/officeDocument/2006/docPropsVTypes"/>
</file>