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Noziedzīgi iegūtu līdzekļu legalizācijas un terorisma un proliferācijas finansēšanas novēršanas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Noziedzīgi iegūtu līdzekļu legalizācijas un terorisma un proliferācijas finansēšanas novēršanas likumā" (turpmāk – likumprojekts) izstrādāts, ņemot vērā Ministru kabineta 2024. gada 20. janvāra rīkojumā Nr. 55 “Par Valdības rīcības plānu Deklarācijas par Evikas Siliņas vadītā Ministru kabineta iecerēto darbību īstenošanai” izvirzītos mērķus – publiskās pārvaldes pilnveidošana, birokrātijas mazināšana un efektīva valsts resursu izmantošana, pamatojoties uz Ministru kabineta 2025. gada 26. augusta sēdē (prot. Nr. 33 53. §) atbalstītā informatīvā ziņojuma “Par valsts pamatbudžeta un valsts speciālā budžeta bāzi un izdevumu pārskatīšanas rezultātiem 2026., 2027., 2028. un 2029. gadam" 28. punktā noteikto - Finanšu ministrijai izvērtēt nepieciešamās izmaiņas normatīvajos aktos, lai ar 2026. gada 1. jūliju Izložu un azartspēļu uzraudzības inspekciju (turpmāk - IAUI) pievienotu Valsts ieņēmumu dienestam (turpmāk - VID), optimizētu atbalsta funkcijas un mazinātu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skatīts kopā ar likumprojektu “Par valsts budžetu 2026. gadam un budžeta ietvaru 2026., 2027. un 2028.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lai pārņemtu Eiropas Parlamenta un Padomes 2024. 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 (turpmāk – Direktīva Nr. 2024/1640) 11., 12., 13. un 15. panta prasības. Atbilstoši Direktīvas Nr. 2024/1640 78. panta 1. punkta otrajai daļai normatīvajiem aktiem, kas vajadzīgi Direktīvas Nr. 2024/1640 11., 12., 13. un 15. panta pārņemšanai, ir jāstājas spēkā līdz 2026. gada 10. jūlijam.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uzlabotu valsts pārvaldes efektivitāti, nepieciešams pārskatīt iestāžu organizatorisko modeli, nodrošinot efektīvāku resursu izmantošanu un izmaksu optimizāciju. Tādēļ paredzēts IAUI pievienot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Noziedzīgi iegūtu līdzekļu legalizācijas un terorisma un proliferācijas finansēšanas novēršanas likumā (turpmāk – NILLTPFNL) ietverto noteikumu par informācijas par patiesajiem labuma guvējiem publisko pieejamību atbilstību Direktīvas Nr. 2024/1640 11., 12., 13. un 15. pantā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aktuālo situāciju izdevumu pārskatīšanā un stratēģiskos mērķus, ir izvērtēta iespēja IAUI pievienot VID agrāk (ar 2026. gada 1. aprīli) nekā iepriekš plānots. Agrāka pievienošana ļaus optimizēt administratīvos un cilvēkresursus, nodrošinot vienotu pārvaldību jau agrākā posmā, turklāt tas ļaus ātrāk uzsākt kopīgu darbu pie prioritāriem virzieniem, veicinot inovāciju, zināšanu apmaiņu un efektīvāku pakalpojumu sniegšanu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stājas spēkā 2026. gada 1. janvārī.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NILLTPFNL nosaka, ka IAUI ir viena no uzraudzības un kontroles institūcijām, kas veic uzraudzības funkcijas uzraugāmajiem un kontrolējamiem likuma subjektiem izložu un azartspēļu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NILLTPFNL 18.</w:t>
      </w:r>
      <w:r w:rsidR="00000000" w:rsidRPr="00000000" w:rsidDel="00000000">
        <w:rPr>
          <w:vertAlign w:val="superscript"/>
          <w:rtl w:val="0"/>
        </w:rPr>
        <w:t xml:space="preserve">1</w:t>
      </w:r>
      <w:r w:rsidR="00000000" w:rsidRPr="00000000" w:rsidDel="00000000">
        <w:rPr>
          <w:rtl w:val="0"/>
        </w:rPr>
        <w:t xml:space="preserve"> – 18.</w:t>
      </w:r>
      <w:r w:rsidR="00000000" w:rsidRPr="00000000" w:rsidDel="00000000">
        <w:rPr>
          <w:vertAlign w:val="superscript"/>
          <w:rtl w:val="0"/>
        </w:rPr>
        <w:t xml:space="preserve">6</w:t>
      </w:r>
      <w:r w:rsidR="00000000" w:rsidRPr="00000000" w:rsidDel="00000000">
        <w:rPr>
          <w:rtl w:val="0"/>
        </w:rPr>
        <w:t xml:space="preserve"> pantā ir noteikta kārtība, kādā juridiskās personas, personālsabiedrības, ārvalsts juridiskās personas vai juridiskie veidojumi, kas Latvijas Republikā reģistrē filiāli vai pārstāvniecību (turpmāk — ārvalsts subjekts), kā arī juridiskie veidojumi (turpmāk kopā saukti — tiesību subjekts) noskaidro un atklāj informāciju par saviem patiesajiem labuma guvējiem, kā arī Latvijas Republikas Uzņēmumu reģistrs (turpmāk — Reģistrs) nodrošina minētās informācijas publiskumu. Atbilstoši noteiktajai kārtībai fiziskajai personai, ja tai ir pamats uzskatīt, ka tā ir kļuvusi par tiesību subjekta patieso labuma guvēju, ir pienākums par šo faktu nekavējoties paziņot attiecīgajam tiesību subjektam. Ja fiziskā persona, kura atbilst NILLTPFNL 1. panta 5. punktā noteiktajai patiesā labuma guvēja definīcijai, rīkojas citas personas labā, tai ir pienākums nekavējoties paziņot tiesību subjektam, ka tā rīkojas citas personas labā, un identificēt šo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subjekts glabā un pastāvīgi aktualizē NILLTPFNL 18.</w:t>
      </w:r>
      <w:r w:rsidR="00000000" w:rsidRPr="00000000" w:rsidDel="00000000">
        <w:rPr>
          <w:vertAlign w:val="superscript"/>
          <w:rtl w:val="0"/>
        </w:rPr>
        <w:t xml:space="preserve">1</w:t>
      </w:r>
      <w:r w:rsidR="00000000" w:rsidRPr="00000000" w:rsidDel="00000000">
        <w:rPr>
          <w:rtl w:val="0"/>
        </w:rPr>
        <w:t xml:space="preserve"> panta ceturtajā daļā un 18.</w:t>
      </w:r>
      <w:r w:rsidR="00000000" w:rsidRPr="00000000" w:rsidDel="00000000">
        <w:rPr>
          <w:vertAlign w:val="superscript"/>
          <w:rtl w:val="0"/>
        </w:rPr>
        <w:t xml:space="preserve">4</w:t>
      </w:r>
      <w:r w:rsidR="00000000" w:rsidRPr="00000000" w:rsidDel="00000000">
        <w:rPr>
          <w:rtl w:val="0"/>
        </w:rPr>
        <w:t xml:space="preserve"> panta otrajā daļā noteiktās ziņas par tiesību subjekta patieso labuma guvēju –  vārdu, uzvārdu, Latvijas piešķirtu personas kodu un dzimšanas datumu, mēnesi, gadu, personu apliecinoša dokumenta numuru un izdošanas datumu, valsti un iestādi, kas dokumentu izdevusi, valstspiederību, pastāvīgās dzīvesvietas valsti, kā arī veidu, kā tiek īstenota kontrole, tai skaitā norādot citas personas, ar kuras starpniecību kontrole tiek īstenota. Tiesību subjekts nekavējoties, bet ne vēlāk kā 14 dienu laikā no attiecīgās informācijas uzzināšanas dienas, iesniedz Reģistram pieteikumu informācijas reģistrācijai par tā patieso labuma guvēju. Informācija par patieso labuma guvēju atklājama vienlaikus ar pieteikuma par jauna tiesību subjekta reģistrāciju iesniegšanu vai kapitālsabiedrības dalībnieku (akcionāru) un valdes locekļu izmaiņām, vai izmaiņām citu juridisko personu vai personālsabiedrību vadības institūciju un pārstāvēt tiesīgo personu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NILLTPFNL 18.</w:t>
      </w:r>
      <w:r w:rsidR="00000000" w:rsidRPr="00000000" w:rsidDel="00000000">
        <w:rPr>
          <w:vertAlign w:val="superscript"/>
          <w:rtl w:val="0"/>
        </w:rPr>
        <w:t xml:space="preserve">3</w:t>
      </w:r>
      <w:r w:rsidR="00000000" w:rsidRPr="00000000" w:rsidDel="00000000">
        <w:rPr>
          <w:rtl w:val="0"/>
        </w:rPr>
        <w:t xml:space="preserve"> panta pirmajā daļā noteikts, ka, lai efektīvi ierobežotu noziedzīgi iegūtu līdzekļu legalizācijas un terorisma un proliferācijas finansēšanas riskus, veicinātu uzticēšanos juridisko personu un ārvalsts subjektu veiktajiem darījumiem un finanšu sistēmai, un uzņēmējdarbības videi kopumā, mazinātu iespēju izmantot juridiskās personas un ārvalsts subjektus prettiesiskām darbībām (it īpaši korupcijai un nodokļu nemaksāšanai), aizsargātu citu personu tiesības un nodrošinātu informācijas pieejamību par darījumu partneru — juridisko personu un ārvalsts subjektu — patiesajiem labuma guvējiem, ikvienai personai ir tiesības saņemt informāciju par patiesajiem labuma guvējiem no VID un tiešsaistes formā – no Reģistra. Ar grozījumiem NILLTPFNL (Tiesību akta lieta Nr. 1087/Lp14) paredzēts mainīt minētajā normā noteikto leģitīmo mērķi informācijas publiskai pieejamībai, nosakot, ka informācija par patiesajiem labuma guvējiem ir publiska, lai nodrošinātu starptautisko un nacionālo sankciju izpildei nepieciešamās informācijas pieejamību. Šādi grozījumi tiek veikti, ņemot vērā Starptautisko un Latvijas Republikas nacionālo sankciju likuma 2. panta otrajā daļā noteikto, ka visām personām ir pienākums ievērot un izpildīt starptautiskās un nacionālās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NILLTPFNL 18.</w:t>
      </w:r>
      <w:r w:rsidR="00000000" w:rsidRPr="00000000" w:rsidDel="00000000">
        <w:rPr>
          <w:vertAlign w:val="superscript"/>
          <w:rtl w:val="0"/>
        </w:rPr>
        <w:t xml:space="preserve">3</w:t>
      </w:r>
      <w:r w:rsidR="00000000" w:rsidRPr="00000000" w:rsidDel="00000000">
        <w:rPr>
          <w:rtl w:val="0"/>
        </w:rPr>
        <w:t xml:space="preserve"> panta pirmā daļa nosaka ikvienas personas, neatkarīgi no tās statusa, tiesības saņemt informāciju par patiesajiem labuma guvējiem. Personai nav jāpamato, ka informācija par patiesajiem labuma guvējiem nepieciešama saistībā ar klienta uzticamības pārbaudi, kā arī nav jāpierāda leģitīmā interese iegūt minēto informāciju. Informācija par patiesajiem labuma guvējiem pieejama Reģistra tīmekļvietnē (https://info.ur.gov.lv/#/data-search), atvērto datu veidā Latvijas atvērto datu portālā (https://data.gov.lv/dati/lv/organization/ur), kā arī datu servisos. Informācija par patiesajiem labuma guvējiem tiek nodota arī Eiropas Savienības reģistru savstarpējās savienojamības sistēmā (Beneficial ownership registers interconnection system (BORIS)). Atbilstoši likuma “Par nodokļiem un nodevām” 18. panta pirmās daļas 22. punktam VID nodrošina publiski pieejamu datubāzi par VID vestajā nodokļu maksātāju reģistrā reģistrētajiem nodokļu maksātājiem un nodokļu maksātāju struktūrvienībām. Minētajā reģistrā tostarp tiek ietverta informācija par nerezidentu (ārvalsts komersantu), kas VID reģistrējuši pastāvīgās pārstāvniecības, patiesajiem labuma guvējiem (https://www.vid.gov.lv/lv/nodoklu-maksataji-un-nodoklu-maksataju-strukturvienibu-registrs).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otrajā daļā ir paredzēti izņēmumi attiecībā uz informāciju par patieso labuma guvēju pieejamību –  informācija par patieso labuma guvēju, kurš informācijas izsniegšanas brīdī nav sasniedzis 18 gadu vecumu vai kuram ir ierobežota rīcībspēja ir ierobežotas pieejamības informācija. Atbilstoši likuma “Par Latvijas Republikas Uzņēmumu reģistru” 4.</w:t>
      </w:r>
      <w:r w:rsidR="00000000" w:rsidRPr="00000000" w:rsidDel="00000000">
        <w:rPr>
          <w:vertAlign w:val="superscript"/>
          <w:rtl w:val="0"/>
        </w:rPr>
        <w:t xml:space="preserve">15</w:t>
      </w:r>
      <w:r w:rsidR="00000000" w:rsidRPr="00000000" w:rsidDel="00000000">
        <w:rPr>
          <w:rtl w:val="0"/>
        </w:rPr>
        <w:t xml:space="preserve"> panta ceturtajai daļai minētā informācija pieejama tiesībaizsardzības institūcijām, kā arī Finanšu izlūkošanas dienestam un uzraudzības un kontroles institūcijām noziedzīgi iegūtu līdzekļu legalizācijas un terorisma un proliferācijas finansēšanas novēršanas jomā. Citas personas minēto informāciju pieprasa Informācijas atklātības likuma 11. panta ceturtajā daļā noteiktajā kārtībā – informācija pieprasāma rakstveidā, informācijas pieprasītajam pamatojot savu pieprasījumu un norādot mērķi, kādam informācija tiks izmantota.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azartspēļu nozare tiek uzraudzīta divu Finanšu ministrijas pārraudzībā esošo iestāžu ietvaros. IAUI nodrošina normatīvo aktu azartspēļu jomā ievērošanu, azartspēļu organizētāju licencēšanu un uzraudzību, savukārt VID funkcijas attiecībā uz komersantiem, kas organizē azartspēles, loterijas un izlozes Latvijā, ir cieši saistītas ar nodokļu administrēšanu un nodokļu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divpakāpju uzraudzības sistēma, lai arī efektīva, rada papildu noslodzi abām iestādēm, jo katrai no tām savas kompetences ietvaros jānodrošina gan kontroles, gan administratīvie procesi. Tas prasa ievērojamus resursus, koordināciju un savstarpēju informācijas apmaiņu, lai nodrošinātu pilnvērtīgu nozares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IAUI un VID pilda līdzīgas funkcijas, īstenojot pasākumus noziedzīgi iegūtu līdzekļu legalizācijas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apvienošanas rezultātā tiks samazināts Finanšu ministrijas pārraudzībā esošo iestāžu skaits, kas samazinās institucionālo sadrumstalotību un veicinās valsts pārvaldes sistēmas vienkāršošanu un caurskatāmību.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izložu un azartspēļu jomā uzraudzības un kontroles funkcijas, īstenojot pasākumus noziedzīgi iegūtu līdzekļu legalizācijas novēršanai, turpmāk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patiesā labuma guvēja informācijas aizklāšanu, ja minētās informācijas pieejamība Reģistra vestajā reģistrā var radīt apdraudējumu patiesajam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NILLTPFNL 18.</w:t>
      </w:r>
      <w:r w:rsidR="00000000" w:rsidRPr="00000000" w:rsidDel="00000000">
        <w:rPr>
          <w:vertAlign w:val="superscript"/>
          <w:rtl w:val="0"/>
        </w:rPr>
        <w:t xml:space="preserve">3</w:t>
      </w:r>
      <w:r w:rsidR="00000000" w:rsidRPr="00000000" w:rsidDel="00000000">
        <w:rPr>
          <w:rtl w:val="0"/>
        </w:rPr>
        <w:t xml:space="preserve"> panta otrajā daļā noteikts, ka informācija par patieso labuma guvēju, kurš informācijas izsniegšanas brīdī nav sasniedzis 18 gadu vecumu vai kuram ir ierobežota rīcībspēja, ir ierobežotas pieejamības informācija. Vienlaikus Direktīvas Nr. 2024/1640 15. pants paredz, ka izņēmuma gadījumos, kuri jānosaka valsts tiesību aktos, ja publiska piekļuve patieso labuma guvēju informācijai var radīt patiesajam labuma guvējam nesamērīgu krāpšanas, nolaupīšanas, šantāžas, izspiešanas, vajāšanas, vardarbības vai iebiedēšanas risku, vai ja patiesais labuma guvējs ir nepilngadīgs vai citādi tiesībnespējīgs, dalībvalstis paredz atbrīvojumu attiecībā uz šādu piekļuvi visai vai daļējai patiesā labuma guvēja personiskai informācijai. Dalībvalstis nodrošina, ka šādus atbrīvojumus piešķir, katrā atsevišķā gadījumā detalizēti izvērtējot apstākļu izņēmuma raksturu un apstiprinot, ka pastāv minētie nesamērīgie riski. Nodrošina tiesības administratīvi pārskatīt lēmumu par atbrīvojuma piešķiršanu un tiesības uz efektīvu tiesiskās aizsardzības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patiesā labuma guvēja datu aizklāšanu nesamērīga riska gadījumos jau bija ietverti Eiropas Parlamenta un Padomes 2018. gada 30. maija Direktīvā (ES) 2018/843, ar kuru groza Direktīvu (ES) 2015/849 par to, lai nepieļautu finanšu sistēmas izmantošanu nelikumīgi iegūtu līdzekļu legalizēšanai vai teroristu finansēšanai, un ar kuru groza Direktīvas 2009/138/EK un 2013/36/ES (turpmāk — Direktīva Nr. 2018/843). Latvijas nacionālajā regulējumā ir pārņemtas prasības tikai attiecībā uz patiesajiem labuma guvējiem, kuri ir nepilngadīgi vai kuriem ir ierobežota rīcībspēja. Līdz ar to nacionālajā regulējumā ir tikai daļēji pārņemtas Direktīvas Nr. 2024/1640 15. panta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pārņemtu Direktīvas Nr. 2024/1640 15. panta prasības un nodrošinātu patieso labuma guvēju aizsardzību arī gadījumā, ja publiska piekļuve patiesā labuma guvēja informācijai var radīt tam nesamērīgu risku, Likumprojektā paredzēts papildināt NILLTPFNL 18.</w:t>
      </w:r>
      <w:r w:rsidR="00000000" w:rsidRPr="00000000" w:rsidDel="00000000">
        <w:rPr>
          <w:vertAlign w:val="superscript"/>
          <w:rtl w:val="0"/>
        </w:rPr>
        <w:t xml:space="preserve">3</w:t>
      </w:r>
      <w:r w:rsidR="00000000" w:rsidRPr="00000000" w:rsidDel="00000000">
        <w:rPr>
          <w:rtl w:val="0"/>
        </w:rPr>
        <w:t xml:space="preserve"> pantu ar kārtību, kādā publiskajā reģistrā tiek aizklāta patiesā labuma guvēja informācija tā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paredzētajai kārtībai patiesajam labuma guvējam jāvēršas ar pieteikumu Reģistrā, lūdzot noteikt informāciju par viņu kā patieso labuma guvēju par ierobežotas pieejamības informāciju, ja minētās informācijas pieejamība var radīt draudus viņam vai viņa ģimenes locekļiem tikt pakļautiem noziedzīgam nodarījumam, kas apdraud viņu dzīvību, veselību vai īpašumu, un pastāv objektīvs pamats uzskatīt, ka šie draudi var īstenoties. Ar šādu pieteikumu patiesais labuma guvējs var vērsties gan pie jauna tiesību subjekta reģistrācijas, t.i., brīdī, kad informācija par patieso labuma guvēju vēl nav publiski pieejama Reģistra vestajā reģistrā, gan brīdī, kad patiesā labuma guvēja informācija ir publiski pieejama, bet ir saskatāma nepieciešamība patiesā labuma guvēja aizsardzībai, publiskajā reģistrā aizklājot informāciju par viņu.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Pieteikums par patiesā labuma guvēja datu aizklāšanu ir apmierināms, ja Reģistrs no pieteikumā ietvertās informācijas konstatē, ka patiesā labuma guvēja informācijas publiska pieejamība var radīt draudus patiesajam labuma guvējam vai viņa ģimenes locekļiem tikt pakļautiem noziedzīgam nodarījumam, kas apdraud viņu dzīvību, veselību vai īpašumu. Ņemot vērā, ka pašai personai ir zināmi apstākļi, kas liecina par minētajiem riskiem, Likumprojektā noteikts pienākums patiesajam labuma guvējam pieteikumā sniegt detalizētu situācijas aprakstu un pievienot pierādījumus, ja tādi ir pieejami, kas apstiprina pieteikumā ietverto informāciju. Reģistrs katrā gadījumā individuāli izvērtēs, vai iesniegumā ietvertā informācija norāda uz apdraudējumu patiesajam labuma guvējam vai viņa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lēmums attiecībā uz patiesā labuma guvēja informācijas aizklāšanu vai atteikumu aizklāt ir uzskatāms par administratīvo aktu, jo tas satur visas Administratīvā procesa likuma 1. panta trešajā daļā noteiktās administratīvā akta pazīmes — Reģistra lēmums ir uz āru vērsts tiesību akts, ko Reģistrs izdod publisko tiesību jomā attiecībā uz individuāli noteiktu personu — patieso labuma guvēju, grozot vai atsakot grozīt konkrētas tiesiskās attiecības. Proti, ar Reģistra lēmumu tiek mainīts vai atteikts mainīt informācijas statusu — no vispārpieejamas informācijas uz ierobežotas pieejamības informāciju. Līdz ar to patiesā labuma guvēja pieteikums par datu aizklāšanu tiks izskatīts administratīvā procesa ietvaros, piemērojot Administratīvā procesa likumu un likumu “Par Latvijas Republikas Uzņēmumu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pirmajā un otrajā daļā noteikts, ka pēc administratīvās lietas ierosināšanas iestāde iegūst informāciju, kas saskaņā ar normatīvajiem aktiem ir nepieciešama, lai pieņemtu attiecīgo lēmumu. Iegūstot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 Tāpat saskaņā ar Valsts pārvaldes iekārtas likuma 54. panta pirmo daļu iestādes sadarbojas, lai veiktu savas funkcijas un uzdevumus. Ņemot vērā minētās normas, norādāms, ka Reģistrs, izskatot patiesā labuma guvēja pieteikumu ar lūgumu par tā datu aizklāšanu, būs tiesīgs pieprasīt citu kompetento iestāžu, piemēram, tiesībaizsardzības iestāžu, viedokli par pieteikumā ietvertajiem apstākļiem, tai skaitā par iespējamību īstenoties pieteikumā norādītajiem draudiem. Vienlaikus jānorāda, ka Reģistram ir tiesības, nevis pienākums, pieprasīt citu kompetento iestāžu viedokli par iesniegto pieteikumu. Kā jau iepriekš minēts, patiesā labuma guvējam ir pienākums sniegt detalizētu situācijas aprakstu un iesniegt tā rīcībā esošos pierādījumus, kas apliecina pastāvošo apdraudējumu. Tādējādi tieši patiesais labuma guvējs, kuram vislabāk zināmi konkrētie apdraudējuma apstākļi, ir atbildīgs par pietiekamas informācijas sniegšanu, lai Reģistram nerastos saprātīgas šaubas par apdraudējuma esamību. Attiecīgi Reģistra tiesības lūgt atbalstu pieteikuma izvērtēšanā nemazina un nemaina pieteikumu pamatojošo dokumentu iesniegšanas pienākumu pašam patiesajam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Reģistra lēmums atbilstoši likuma “Par Latvijas Republikas Uzņēmumu reģistru” 19. pantam var tikt apstrīdēts un pārsūdzēts — Reģistra valsts notāra lēmums var tikt apstrīdēts Reģistra galvenajam valsts notāram, savukārt Reģistra galvenā valsts notāra lēmums var tikt pārsūdzēts tiesā Administratīvā procesa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Reģistram būs nepieciešams laiks, lai katrā gadījumā izvērtētu, vai no pieteikumā ietvertās informācijas izriet, ka patiesais labuma guvējs var tikt pakļauts minētajam apdraudējumam un ir pamats tā informācijas aizklāšanai. Lai nodrošinātu patiesā labuma guvēja sākotnējo aizsardzību, Likumprojektā paredzēts, ka Reģistrs pēc pieteikuma saņemšanas nekavējoties, bet ne vēlāk kā vienas darbdienas laikā, nepieņemot atsevišķu lēmumu, aizklāj attiecīgā patiesā labuma guvēja informāciju. Sākotnējā patiesā labuma guvēja aizsardzība tiks nodrošināta tūlīt pēc pieteikuma saņemšanas, Reģistram nevērtējot pieteikumā norādīto pamatojumu pēc būtības, un tā tiks nodrošināta uz pieteikuma izskatīšanas laiku. Patiesajam labuma guvējam ir pienākums pieteikumā norādīt detalizētu situācijas aprakstu, kas apliecina draudu pastāvēšanu. Ja Reģistrā tiek iesniegts pieteikums, kurā šāds pamatojums nav ietverts, Reģistram nav pamata uz pieteikuma izskatīšanas laiku aizklāt patiesā labuma guvēja informāciju, jo pieteikumā nav norādīti apstākļi, kurus Reģistram būtu jāvērtē. Šādā gadījumā Reģistrs pieprasa pieteikuma iesniedzējam papildināt pieteikumu ar attiecīgo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Reģistrs konstatē, ka no pieteikumā ietvertās informācijas neizriet pamats patiesā labuma guvēja aizsardzībai un informācijas aizklāšanai, patiesā labuma guvēja pagaidu aizsardzība tiek pārtraukta un piekļuve tā informācijai tiks atjaunota. Ņemot vērā, ka Reģistra lēmuma apstrīdēšana un pārsūdzēšana ir laikietilpīgs process, lai nodrošinātu samērīgumu starp personas aizsardzību apdraudējuma gadījumā un citu personu tiesībām saņemt informāciju par tiesību subjekta patieso labuma guvēju, Likumprojektā paredzēts, ka gadījumā, ja sākotnējā lēmumā tiek konstatēts, ka nav pamata patiesā labuma guvēja informācijas aizklāšanai un tiek pārtraukta pagaidu aizsardzība, minētā lēmuma apstrīdēšana vai pārsūdzēšana neatjauno pagaidu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iepriekš aprakstītais būs attiecināms uz visiem patiesajiem labuma guvējiem, neatkarīgi no tā, kurā no Reģistra vestajiem reģistriem persona ir reģistrēta.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informācijai par patieso labuma guvēju ir noteikts ierobežotas pieejamības statuss, atbilstoši likuma “Par Latvijas Republikas Uzņēmumu reģistru” 4.</w:t>
      </w:r>
      <w:r w:rsidR="00000000" w:rsidRPr="00000000" w:rsidDel="00000000">
        <w:rPr>
          <w:vertAlign w:val="superscript"/>
          <w:rtl w:val="0"/>
        </w:rPr>
        <w:t xml:space="preserve">15 </w:t>
      </w:r>
      <w:r w:rsidR="00000000" w:rsidRPr="00000000" w:rsidDel="00000000">
        <w:rPr>
          <w:rtl w:val="0"/>
        </w:rPr>
        <w:t xml:space="preserve">panta ceturtajai daļai minētā informācija pieejama tiesībaizsardzības institūcijām, kā arī Finanšu izlūkošanas dienestam un uzraudzības un kontroles institūcijām noziedzīgi iegūtu līdzekļu legalizācijas un terorisma un proliferācijas finansēšanas novēršanas jomā. Citas personas, tostarp NILLTPFNL 3. panta pirmajā daļā uzskaitītie likuma subjekti, minēto informāciju no Reģistra pieprasa Informācijas atklātības likuma 11. panta ceturtajā daļā noteiktajā kārtībā. Proti, informācija pieprasāma rakstveidā, norādot mērķi, kādam informācija tiks izmantota.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patiesā labuma guvēja aizsardzība tiks nodrošināta, kamēr pastāv attiecīgie draudi, nosakot patiesā labuma guvēja pienākumu informēt Reģistru, ja ir konstatēts, ka apdraudējums ir novērsts un vairs nepastāv tiesisks pamats saglabāt patiesā labuma guvēja informāciju aizklātu. Eiropas Parlamenta un Padomes 2024. gada 31. maija Regula Nr. 2024/1624 par to, lai nepieļautu finanšu sistēmas izmantošanu nelikumīgi iegūtu līdzekļu legalizēšanai un teroristu finansēšanai (turpmāk — Regula Nr. 2024/1624), kas piemērojama no 2027. gada 10. jūlija, paredz, ka tiesību subjekts regulāri pārbauda, vai tā rīcībā ir atjaunināta informācija par tā patieso labuma guvēju. Šādu pārbaudi veic vismaz reizi gadā kā atsevišķu procesu vai kā daļu no citiem periodiskiem procesiem, piemēram, finanšu pārskata iesniegšanas. Savukārt Direktīvas Nr. 2024/1640 10. panta 7. punkts paredz, ka informācija par patieso labuma guvēju, kas atrodas centrālajos reģistros, ir atbilstīga, precīza un atjaunināta, un dalībvalstīm jāievieš mehānismi šajā nolūkā. Šim nolūkam dalībvalstis piemēro vismaz prasību, ka par centrālajiem reģistriem atbildīgās struktūras saprātīgā laikposmā pēc informācijas par faktiskajiem īpašniekiem iesniegšanas un pēc tam regulāri pārbauda, vai informācija ir atbilstīga, precīza un atjaunināta.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regulējumā paredzēta ikgadēja informācijas par patiesajiem labuma guvējiem aktualizācija centrālajā reģistrā. Attiecīgi, ieviešot Direktīvas Nr. 2024/1640 un Regulas Nr. 2024/1624 prasības uz 2027. gada 10. jūliju, plānots ieviest tiesisko regulējumu par informācijas par patieso labuma guvēju regulāru aktualizāciju vismaz reizi gadā. Šī Likumprojekta ietvaros tiek paredzēts, ka reizi gadā patiesais labuma guvējs iesniedz apliecinājumu, ka joprojām pastāv pamats saglabāt informāciju par viņu aizklātu.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Direktīvas Nr. 2024/1640 15. pantā arī paredzēts, ka dalībvalsts, kura piešķīrusi atbrīvojumu, publicē ikgadējus statistikas datus par piešķirto atbrīvojumu skaitu un norādītajiem iemesliem un ziņo šos datus Eiropas Komisijai. Valsts pārvaldes iekārtas likuma 94. panta pirmajā daļā noteikts, ka, lai informētu sabiedrību par iestādes darbību, kā arī par tai piešķirto budžeta līdzekļu izlietojumu, iestāde sagatavo publiskos pārskatus. Arī Ministru kabineta 2005. gada 28. jūnija noteikumu Nr.469 “Uzņēmumu reģistra nolikums” 10. punktā paredzēts, ka Reģistrs ne retāk kā reizi gadā iesniedz Tieslietu ministrijā pārskatu par Reģistra funkciju izpildi. Ņemot vērā, ka normatīvie akti jau šobrīd nosaka Reģistra pienākumu ik gadu sagatavot publisku pārskatu par savu funkciju izpildi, Direktīvas Nr. 2024/1640 15. pantā ietvertā prasība tiks nodrošināta, Reģistram ikgadējā publiskajā pārskatā iekļaujot informāciju par piešķirto atbrīvojumu skaitu un norādītajiem iemesliem. Papildus jāuzsver, ka šajos statistikas datos nav veicama fizisko personu datu apstrāde.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Patiesā labuma guvēja informācijas aizklāšana ierakstā par individuālā uzņēmuma īpašnieku vai informācijā par kapitālsabiedrības dalībnieku (akcionāru), ja patiesā labuma guvēja statuss izriet no tiešām vai netiešām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NILLTPFNL 1. panta 5. punkta a) apakšpunktā noteiktajai patiesā labuma guvēja definīcijai, attiecībā uz juridiskajām personām patiesais labuma guvējs tostarp ir fiziskā persona, kurai tiešas vai netiešas līdzdalības veidā pieder vairāk nekā 25 procenti no juridiskās personas kapitāla daļām vai balsstiesīgajām akcijām. Proti, patiesā labuma guvēja statuss juridiskajā personā var izrietēt no tiešām vai netiešām īpašumtiesībām attiecīgajā juridiskajā personā, ja fiziskās personas līdzdalības apmērs pārsniedz 25 procentus. Savukārt, saskaņā ar likuma “Par Latvijas Republikas Uzņēmumu reģistru” 4.</w:t>
      </w:r>
      <w:r w:rsidR="00000000" w:rsidRPr="00000000" w:rsidDel="00000000">
        <w:rPr>
          <w:vertAlign w:val="superscript"/>
          <w:rtl w:val="0"/>
        </w:rPr>
        <w:t xml:space="preserve">15</w:t>
      </w:r>
      <w:r w:rsidR="00000000" w:rsidRPr="00000000" w:rsidDel="00000000">
        <w:rPr>
          <w:rtl w:val="0"/>
        </w:rPr>
        <w:t xml:space="preserve"> panta pirmās daļas 1. punktu, 2. punkta a) apakšpunktu un 8. panta trešās daļas 1. punktu, Reģistra vestajā uzņēmumu reģistra žurnālā tiek veikti ieraksti par individuālā uzņēmuma (ar individuālo uzņēmumu saprotama arī zemnieku vai zvejnieku saimniecība) īpašniekiem. Savukārt komercreģistrā tiek reģistrētas ziņas no kapitālsabiedrības dalībnieku (akcionāru) reģistra nodalījumiem par kapitālsabiedrības dalībniekiem (akcionāriem) un mantojuma aizgādņiem. Tāpat informācija par kapitālsabiedrības dalībniekiem (akcionāriem) ir pieejama dalībnieku (akcionāru) reģistra nodalījumā, vai akciju sabiedrības paziņojumā par akcionāra līdzdalības iegūšanu, palielināšanos vai samazināšanos, ja akciju sabiedrība ir izlaidusi dematerializētas akcijas un akcionāram pieder vairāk nekā pieci procenti no akciju skaita.  Minētie dokumenti ir reģistrācijas lietas publiskās daļas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Eiropas Parlamenta un Padomes 2017. gada 14. jūnija direktīvas  (ES) 2017/1132 attiecībā uz sabiedrību tiesību dažiem aspektiem (turpmāk – Direktīva Nr. 2017/1132) 14. pants neparedz, ka dalībvalstīm būtu obligāti jānodrošina pieejama informācijai par kapitālsabiedrību dalībniekiem vai akcionāriem.  Reģistrs minētās informācijas pieejamību nodrošina, pamatojoties uz nacionālajām tiesību normām. Leģitīmais mērķis minētās informācijas pieejamībai ir nodrošināt uzņēmējdarbības vides caurspīdīgumu, kā arī nacionālo un starptautisko sankciju pārbaudēm nepieciešamās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patiesā labuma guvēja statuss izriet no individuālā uzņēmuma īpašnieka statusa, vai tiešām vai netiešām īpašumtiesībām kapitālsabiedrībā, attiecīgā patiesā labuma guvēja dati tiek atspoguļoti arī informācijā par attiecīgā individuālā uzņēmuma īpašnieku vai kapitālsabiedrības dalībnieku (akcionāru). Proti, atbilstoši Reģistra sniegtajai informācijai uz 2025. gada 7. janvāri bija konstatēti 84 gadījumi, kuros informācijai par patieso labuma guvēju bija noteikts ierobežotas pieejamības informācijas statuss. Visos gadījumos tika ierobežota piekļuve informācijai par individuālā uzņēmuma (3 gadījumos) vai kapitālsabiedrības (80 SIA, 1 AS) patieso labuma guvēju. Veicot tālāku informācijas analīzi, tika konstatēts, ka visos gadījumos informācija par aizklāto patieso labuma guvēju bija atrodama paša subjekta (74 gadījumos) vai tā īpašnieka (10 gadījumos) datos. Minētais faktiski saglabā iespējamu apdraudējumu tiem patiesajiem labuma guvējiem, kuru informācijai ir noteikts ierobežotas pieejamības statuss, jo, lai arī informācija par patieso labuma guvēju ir ierobežota pieejamībās, tā tieši vai netieši ir publiski pieejama citviet reģistrētajā informācijā par attiecīgo individuālo uzņēmumu vai kapitālsabiedrību.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ka, ja patiesā labuma guvēja informācija ir ierobežotas pieejamības un Reģistrs minēto informāciju aizklāj, tiek saglabāta atklāta informācija par attiecīgā patiesā labuma guvēja tiešajām vai netiešajām īpašumtiesībām attiecīgajā individuālajā uzņēmumā vai kapitālsabiedrībā. Šādā veidā netiek nodrošināta efektīva patiesā labuma guvēja aizsardzība, jo tā identificējošā informācija ir pieejama sadaļā par individuālā uzņēmuma īpašnieku, kapitālsabiedrību dalībniekiem (akcionāriem). Tāpat informācija par kapitālsabiedrības dalībniekiem (akcionāriem) ir pieejama dalībnieku (akcionāru) reģistra nodalījumā vai akciju sabiedrības iesniegtajā paziņojumā par akcionāra līdzdalības iegūšanu, palielināšanos vai samazināšanos, kas ir reģistrācijas lietas publiskās daļas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patiesā labuma guvēja aizsardzību gadījumā, ja informācija par viņu ir ierobežotas pieejamības, Likumprojekta 2. pantā paredzēts papildināt NILLTPFNL 18.</w:t>
      </w:r>
      <w:r w:rsidR="00000000" w:rsidRPr="00000000" w:rsidDel="00000000">
        <w:rPr>
          <w:vertAlign w:val="superscript"/>
          <w:rtl w:val="0"/>
        </w:rPr>
        <w:t xml:space="preserve">3</w:t>
      </w:r>
      <w:r w:rsidR="00000000" w:rsidRPr="00000000" w:rsidDel="00000000">
        <w:rPr>
          <w:rtl w:val="0"/>
        </w:rPr>
        <w:t xml:space="preserve"> pantu ar jaunu daļu. Normā paredzēts, ka, ja informācija par individuālā uzņēmuma vai kapitālsabiedrības patieso labuma guvēju ir ierobežotas pieejamības, arī informācija par attiecīgā patiesā labuma guvēja īpašumtiesībām individuālajā uzņēmumā vai kapitālsabiedrībā ir ierobežotas pieejamības. Ja patiesais labuma guvējs vienlaikus ir attiecīgā individuālā uzņēmuma īpašnieks, tad arī īpašnieka informācija būs uzskatāma par ierobežotas pieejamības. Informācija par patieso labuma guvēju kā kapitālsabiedrības dalībnieku (akcionāru) būs ierobežotas pieejamības, ja personas patiesā labuma guvēja statuss izriet no tiešām vai netiešām īpašumtiesībām attiecīgajā kapitālsabiedrībā. Datu aizklāšana ir nepieciešama, lai nodrošinātu, ka gadījumā, ja informācijai par patieso labuma guvēju noteikts ierobežotas pieejamības statuss, šī informācija nebūtu iegūstama no citām Reģistra reģistrētajām ziņām par attiecīgo individuālo uzņēmumu vai kapitālsabiedrību.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par īpašniekiem, dalībniekiem vai akcionāriem aizklāšana tiks nodrošināta neatkarīgi no pamata, uz kura informācijai par patieso labuma guvēju ir noteikts ierobežotas pieejamības statuss. Proti, šāda aizklāšana piemērojama gan gadījumos, kad ierobežotas pieejamības statuss izriet no NILLTPFNL 18.</w:t>
      </w:r>
      <w:r w:rsidR="00000000" w:rsidRPr="00000000" w:rsidDel="00000000">
        <w:rPr>
          <w:vertAlign w:val="superscript"/>
          <w:rtl w:val="0"/>
        </w:rPr>
        <w:t xml:space="preserve">3</w:t>
      </w:r>
      <w:r w:rsidR="00000000" w:rsidRPr="00000000" w:rsidDel="00000000">
        <w:rPr>
          <w:rtl w:val="0"/>
        </w:rPr>
        <w:t xml:space="preserve"> panta otrās daļas, jo patiesais labuma guvējs nav sasniedzis 18 gadu vecumu vai viņam ir ierobežota rīcībspēja, gan arī gadījumos, kad minētais statuss noteikts ar Reģistra lēmumu, konstatējot draudu esamību attiecībā uz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aizklās patiesā labuma guvēja informāciju gan sadaļā par individuālā uzņēmuma vai kapitālsabiedrības patiesajiem labuma guvējiem, gan sadaļā, kur attiecīgais patiesais labuma guvējs norādīts kā īpašnieks vai dalībnieks (akcionārs). Ja patiesā labuma guvēja statuss izriet no netiešām īpašumtiesībām (netieša līdzdalība), informācija tiks aizklāta to kapitālsabiedrību dalībnieku (akcionāru) sadaļās, kurās patiesais labuma guvējs ir dalībnieks (akcionārs) un kas saistīts ar attiecīgās personas patiesā labuma guvēja statusu. Proti, NILLTPFNL 1. panta 5. punkta a) apakšpunktā noteikts, ka patiesais labuma guvējs attiecībā uz juridiskajām personām ir fiziskā persona, kurai tiešas vai netiešas līdzdalības veidā pieder vairāk nekā 25 procenti no juridiskās personas kapitāla daļām. Savukārt atbilstoši NILLTPFNL 18.</w:t>
      </w:r>
      <w:r w:rsidR="00000000" w:rsidRPr="00000000" w:rsidDel="00000000">
        <w:rPr>
          <w:vertAlign w:val="superscript"/>
          <w:rtl w:val="0"/>
        </w:rPr>
        <w:t xml:space="preserve">1</w:t>
      </w:r>
      <w:r w:rsidR="00000000" w:rsidRPr="00000000" w:rsidDel="00000000">
        <w:rPr>
          <w:rtl w:val="0"/>
        </w:rPr>
        <w:t xml:space="preserve"> panta ceturtajai daļai un 18.</w:t>
      </w:r>
      <w:r w:rsidR="00000000" w:rsidRPr="00000000" w:rsidDel="00000000">
        <w:rPr>
          <w:vertAlign w:val="superscript"/>
          <w:rtl w:val="0"/>
        </w:rPr>
        <w:t xml:space="preserve">2</w:t>
      </w:r>
      <w:r w:rsidR="00000000" w:rsidRPr="00000000" w:rsidDel="00000000">
        <w:rPr>
          <w:rtl w:val="0"/>
        </w:rPr>
        <w:t xml:space="preserve"> panta pirmajai daļai Reģistrs tostarp reģistrē informāciju par dalībniekiem (akcionāriem), biedriem, īpašniekiem vai citām personām, ar kuru starpniecību kontrole tiek īstenota. Līdz ar to Reģistra rīcībā ir informācija par personām, ar kuru starpniecību patiesais labuma guvējs īsteno savu netiešo līdzdalību. Attiecīgi netiešas līdzdalības gadījumā informācija tiks aizklāta to kapitālsabiedrību dalībnieku (akcionāru) sadaļās, kurās patiesais labuma guvējs ir tiešais dalībnieks (akcionārs), viņam pieder vairāk kā 25 procenti no kapitāla daļām vai balsstiesīgajām akcijām un no kuras attiecīgi izriet personas patiesā labuma guvēja statuss attiecīgajā tiesību subjektā.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gadījumā, ja patiesā labuma guvēja informācija ir ierobežotas pieejamības, informācija netiks aizklāta pilnīgi visās kapitālsabiedrību dalībnieku (akcionāru) sadaļās, kurās attiecīgā persona ir dalībnieks (akcionārs). Dalībnieku (akcionāru) datu aizklāšanas priekšnoteikumi ir apstāklis, ka personas dalība kapitālsabiedrībā padara viņu par attiecīgās kapitālsabiedrības vai cita tiesību subjekta (netiešas līdzdalības gadījumā) patieso labuma guvēju, kā arī patiesā labuma guvēja informācija ir ierobežotas pieejamības, bet konkrēto patieso labuma guvēju ir iespējams identificēt no viņa dalības attiecīgajā kapitālsabiedrībā. Savukārt dalībnieku (akcionāru) datu aizklāšana kapitālsabiedrībās, kurās persona nav identificējama kā patiesais labuma guvējs, nav nepieciešama, jo no kapitālsabiedrības dalībnieku (akcionāru) informācijas nav iespējams identificēt konkrēto patieso labuma guvēju, kura informācijai ir noteikta ierobežota pieejamība. Piemēram, ja patiesais labuma guvējs, kura informācija ir ierobežotas pieejamības, ir dalībnieks (akcionārs) kapitālsabiedrībā, bet viņa dalība ir mazāka pa 25 procentiem un dēļ šīs dalības viņš nav uzskatāms par patieso labuma guvēju, dati attiecīgās kapitālsabiedrības dalībnieku (akcionāru) sadaļā nav aizklājami.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patiesais labuma guvējs vienlaikus ir individuālā uzņēmuma vai kapitālsabiedrības pārstāvēttiesīgā persona, neatkarīgi no pārstāvības veida, viņa dati pārstāvēttiesīgo personu sadaļā netiks aizklāti. Pretējā gadījumā netiktu nodrošināta uzņēmējdarbības videi nepieciešamā informācija par individuālā uzņēmuma vai kapitālsabiedrības pārstāvēt tiesīgajām personām. Turklāt, atšķirībā no ziņām par īpašniekiem, prasība nodrošināt publisku pieejamību informācijai par personām, kurām piešķirtas tiesības pārstāvēt kapitālsabiedrību darījumos ar trešajām personām, izriet no Direktīvas Nr. 2017/1132 14. panta d) punkta i)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kapitālsabiedrības dalībnieku (akcionāru) sadaļā esošajai informācijai par patieso labuma guvēju tiek noteikts ierobežotas pieejamības informācijas statuss, Likumprojektā paredzēts, ka kapitālsabiedrības reģistrācijas lietā esošais dalībnieku (akcionāru) reģistra nodalījums vai akciju sabiedrības paziņojums par akcionāra līdzdalības iegūšanu, palielināšanos vai samazināšanos uz ierobežojuma laiku tiek iekļauts reģistrācijas lietas nepubliskajā daļā. Attiecībā uz akciju sabiedrības iesniegtajiem paziņojumiem par akcionāra līdzdalības iegūšanu, palielināšanos vai samazināšanos nepubliskajā daļā tiek iekļauti tikai tie iesniegtie paziņojumi, kuros identificēts konkrētais patiesais labuma guvējs, kura informācijai noteikts ierobežotas 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 reģistrēto informāciju par patiesajiem labuma guvējiem, kurai noteikts ierobežotas pieejamības statuss, bet kas ir atrodama reģistrētajās ziņās par individuālā uzņēmuma īpašnieku vai par kapitālsabiedrības dalībnieku (akcionāru), Reģistrs līdz 2027. gada 1. janvārim normatīvajos aktos noteiktajā kārtībā nodrošinās šīs informācijas par patiesajiem labuma guvējiem aizklāšanu, kā arī attiecīgo dokumentu pievienošanu reģistrācijas lietas nepubliskajai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Reģistra vestajos reģistros pieejamās informācijas par patiesajiem labuma guvējiem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vestajos reģistros pieejamās informācijas par patiesajiem labuma guvējiem apjoms ir noteikts NILLTPFNL. Atbilstoši  NILLTPFNL 18.</w:t>
      </w:r>
      <w:r w:rsidR="00000000" w:rsidRPr="00000000" w:rsidDel="00000000">
        <w:rPr>
          <w:vertAlign w:val="superscript"/>
          <w:rtl w:val="0"/>
        </w:rPr>
        <w:t xml:space="preserve">1</w:t>
      </w:r>
      <w:r w:rsidR="00000000" w:rsidRPr="00000000" w:rsidDel="00000000">
        <w:rPr>
          <w:rtl w:val="0"/>
        </w:rPr>
        <w:t xml:space="preserve"> panta ceturtajai daļai un 18.</w:t>
      </w:r>
      <w:r w:rsidR="00000000" w:rsidRPr="00000000" w:rsidDel="00000000">
        <w:rPr>
          <w:vertAlign w:val="superscript"/>
          <w:rtl w:val="0"/>
        </w:rPr>
        <w:t xml:space="preserve">2</w:t>
      </w:r>
      <w:r w:rsidR="00000000" w:rsidRPr="00000000" w:rsidDel="00000000">
        <w:rPr>
          <w:rtl w:val="0"/>
        </w:rPr>
        <w:t xml:space="preserve"> panta pirmajai daļai par juridiskās personas, personālsabiedrības, kā arī ārvalsts subjekta patieso labuma guvēju Reģistra vestajā reģistrā ietver sekojošu informāciju – vārdu, uzvārdu, personas kodu (ja nav personas koda, norāda dzimšanas datumu, mēnesi, gadu, personu apliecinoša dokumenta numuru un izdošanas datumu, valsti un iestādi, kas dokumentu izdevusi), valstspiederību, pastāvīgās dzīvesvietas valsti. Papildus identificējošajai informācijai tiek reģistrs arī  veids, kā tiek īstenota kontrole pār tiesību subjektu, tai skaitā norādot citas personas, ar kuras starpniecību kontrole tiek īstenota. NILLTPFNL 18.</w:t>
      </w:r>
      <w:r w:rsidR="00000000" w:rsidRPr="00000000" w:rsidDel="00000000">
        <w:rPr>
          <w:vertAlign w:val="superscript"/>
          <w:rtl w:val="0"/>
        </w:rPr>
        <w:t xml:space="preserve">6</w:t>
      </w:r>
      <w:r w:rsidR="00000000" w:rsidRPr="00000000" w:rsidDel="00000000">
        <w:rPr>
          <w:rtl w:val="0"/>
        </w:rPr>
        <w:t xml:space="preserve"> panta trešajā daļā paredzēts identisks reģistrējamās informācijas apjoms attiecībā uz juridisko veidojumu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2024/1640 12. panta 1. punktā norādīta informācija, kas jānodrošina personai, kas ir pierādījusi leģitīmo interesi iegūt patiesā labuma guvēja informāciju.  Lai arī Reģistrs šobrīd nodrošina piekļuve lielākajai daļai norādītās informācijas, ir informācija, kuras pieejamību Reģistrs šobrīd nenodrošina. Proti, lai arī Reģistra vestajos reģistros par patieso labuma guvēju tiek reģistrēta informācija par tā valstspiederību, Direktīvas Nr. 2024/1640 12. panta 1. punkta c) apakšpunkts paredz, ka reģistrējama informācija par patiesā labuma guvēja valstspiederību vai valstspiederībām. Proti, ja patiesajam labuma guvējam ir vairākas valstspiederības, informācija reģistrējama par tām visām. Šobrīd Reģistrs reģistrē informāciju tikai par vienu pieteikumā norādīto patiesā labuma guvēja valstspiederību.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Direktīvas Nr. 2024/1640 12. panta 1. punkta d) apakšpunkts papildus informācijai par patiesā labuma guvēja īstenotās kontroles veidu paredz arī prasību reģistrēt informāciju par īstenotās kontroles apjomu, kas pašlaik netiek reģistrēta.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nacionālā regulējuma atbilstību Direktīvas Nr. 2024/1640 12. panta 1. punkta prasībām, ar Likumprojektu paredzēts papildināt Reģistra vestajos reģistros reģistrējamās informācijas par patieso labuma guvēju apjomu. Proti, papildus esošajai informācijai tiek noteikts, ka Reģistrs reģistrēs visas patiesā labuma guvēja valstspiederības, ja tādas ir vairākas. Tāpat ir paredzēts, ka papildus informācijai par īstenotās kontroles veidu tiks reģistrēta arī informācija par īstenotās kontroles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privātpersonām mazinātu administratīvo slogu attiecībā uz informācijas aktualizāciju, Likumprojektā paredzēts, ka aktuālā informācija par to patieso labuma guvēju valstspiederībām, kuri Reģistra vestajos reģistros tiek identificēti pēc Latvijas piešķirtā personas koda, tiek iegūta no Fizisko personu reģistra. Tiesību subjektam šādā gadījumā nebūs jāvēršas Reģistrā ar atsevišķu pieteikumu un jāaktualizē informācija par tā patiesā labuma guvēja valstspiederībām. Informācijas aktualizācija tiks veikta, izmantojot jau valsts rīcībā esošo informāciju par konkrēto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patieso labuma guvēju, kuri Reģistra vestajos reģistros netiek identificēti pēc Latvijas personas koda un līdz ar to nav iespējams no Fizisko personu reģistra iegūt aktuālo informāciju par tā valstspiederībām, Likumprojekts paredz, ka tiesību subjekts līdz 2026. gada 10. jūlijam iesniedz Reģistram aktuālās ziņas par tā patiesā labuma guvēja valstspiederību vai valstspiederībām.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paredzēts piespiedu mehānisms pārejas noteikumā noteiktā pienākuma neizpildei. Jāņem vērā, ka Direktīvas Nr. 2024/1640 10. panta 13. un 14. punkts, kas transponējams līdz 2027. gada 10. jūlijam, paredz, ka gadījumā, ja par centrālo reģistru atbildīgā struktūra secina, ka informācijā par patieso labuma guvēju pastāv nekonsekvence vai kļūdas, par centrālo reģistru atbildīgā struktūra var atsaukt vai atteikt derīga reģistrācijas apliecinājuma sertifikāta izdošanu. Attiecīgi Reģistrs pret tiesību subjektiem, kas nebūs aktualizējuši ziņas par savu patieso labuma guvēju valstspiederību, vērsīsies vēlāk, kad tiks noteiktas Reģistra tiesības vērsties pret tiesību subjektiem, kuru reģistrētā informācija par patiesajiem labuma guvējiem ir neaktuāla.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informāciju par patiesā labuma guvēja īstenotās kontroles apjomu norādāms, ka Reģistrs jau šobrīd reģistrē informāciju par individuālo uzņēmumu īpašniekiem, kā arī kapitālsabiedrību dalībniekiem vai akcionāriem, ietverot arī ziņas par konkrētās personas līdzdalības apmēru. Šajos gadījumos Reģistrs, nepieņemot atsevišķu lēmumu, īpašnieku, dalībnieku vai akcionāru ziņās reģistrēto informāciju par līdzdalības apmēru reģistrēs informācijā par patiesā labuma guvēja īstenotās kontroles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gadījumos, kuros Reģistrs, pamatojoties uz tā rīcībā esošo informāciju, nevarēs nodrošināt šādas informācijas reģistrāciju, minēto informāciju Reģistrā būs jāiesniedz attiecīgajām tiesību subjektam. Ir paredzēts, ka šādos gadījumos informācija Reģistra vestajos reģistros tiks reģistrēta pakāpeniski. Proti, informācija par patiesā labuma guvēja īstenotās kontroles apjomu būs iesniedzama citas informācijas par patiesajiem labuma guvējiem aktualizācijas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kuras ir Reģistra vestajos reģistros reģistrētu tiesību subjektu patiesie labuma 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kuras ir Reģistra vestajos reģistros reģistrētu tiesību subjektu patiesie labuma guvēji.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Patiesajiem labuma guvējiem apdraudējuma gadījumā tiek piešķirtas tiesības iesniegt Reģistrā motivētu lūgumu atzīt informāciju par viņu kā patieso labuma guvēju par ierobežotas pieejamības informāciju. Ja, pamatojoties uz sniegto informāciju, Reģistrs konstatē attiecīga riska pastāvēšanu, Reģistra vestajos reģistros reģistrētā informācija par konkrēto patieso labuma guvēju tiek noteikta kā ierobežotas pieejamības informācija un attiecīgi aizklāta. Lai nodrošinātu, ka patiesā labuma guvēja aizsardzība ir efektīva, paredzēts, ka gadījumā, ja individuālā uzņēmuma patiesā labuma guvējs vienlaikus ir tā īpašnieks, vai arī kapitālsabiedrības patiesā labuma guvēja statuss izriet no tiešām vai netiešām īpašumtiesībām, arī informācija par šo patiesā labuma guvēja statusu tiek noteikta kā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Reģistra vestajos reģistros tiks reģistrēta papildu informācija par fizisko personu kā attiecīgā tiesību subjekta patieso labuma guvēju. Ņemot vērā, ka fiziskajai personai, kura ir Reģistra vestajā reģistrā reģistrēta tiesību subjekta patiesais labuma guvējs, ir pienākums attiecīgajam tiesību subjektam sniegt informāciju par sevi kā patieso labuma guvēju, šai personai tiek noteikts pienākums iesniegt tiesību subjektam iztrūkstošo informāciju, tostarp aktuālo informāciju par savu valstspiederību un īstenotās kontroles apjomu pār attiecīgo tiesību subjektu.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 visas juridiskās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azartspēļu, interaktīvo azartspēļu, izložu un interaktīvo izložu komersantiem mainās uzraudzības iestāde no IAUI uz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paredzēts papildus reģistrējamās informācijas par juridisko personu patiesajiem labuma guvējiem apjoms, juridiskajām personām tiek noteikts pienākums aktualizēt Reģistra vestajos reģistros esošo informāciju par tās patiesajiem labuma guvējiem.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paredzēta papildus iesniedzamā informācija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paredzēta papildus iesniedzamā informācija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Likumprojekts skar visas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juridiskā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Atbilstības nodrošināšanai Reģistra vestajos reģistros reģistrētajiem tiesību subjektiem būs pienākums aktualizēt informāciju par saviem patiesajiem labuma guvējiem, precizējot reģistrēto informāciju par patieso labuma guvēju valstspiederībām, kā arī iesniedzot iztrūkstošo informāciju par patieso labuma guvēju īstenotās kontroles apjomu. Nav iespējams noteikt konkrētu tiesību subjektu skaitu, kuriem būs jāaktualizē informācija par patieso labuma guvēju valstspiederību, jo aktualizācijas pienākums attieksies tikai uz tiem patiesajiem labuma guvējiem, kuri Reģistra vestajos reģistros nav identificējami pēc Latvijas piešķirtā personas koda. Aprēķinot viena tiesību subjekta patērēto administratīvo resursu atbilstības nodrošināšanai un aktuālās informācijas iesniegšanai Reģistrā, secināms, ka aptuvenais patērētais laiks dokumentu sagatavošanai (aktuālās informācijas iegūšanai no patiesā labuma guvēja, dokumentu aizpildīšanai un citu tehnisko darbību veikšanai) ir no 1,25 līdz 2,5 cilvēkstundām. Izmantojot 2024. gada vidējo vienas stundas likmi 11,38 euro, kā arī piemērojamo valsts nodevu 20 euro apmērā (pieņemot, ka tiek aktualizēta tikai informācija par patieso labuma guvēju un informācija tiek aktualizēta komercreģistrā), secināms, ka vienam tiesību subjektam kopējais izmaksu apmērs uz vienu aktualizācijas gadījumu ir aptuveni 48,45 euro (C=2,5 x 11,38 + 20). Attiecībā uz iztrūkstošo informāciju par patiesā labuma guvēja īstenotās kontroles apjomu, likumprojektā paredzēts, ka gadījumā, ja nepieciešamā informācija ir Reģistra rīcībā, Reģistrs pats nodrošinās minētās informācijas reģistrāciju. Savukārt, ja Reģistra rīcībā minētā informācija nav, paredzēts, ka iztrūkstošās informācijas iesniegšana notiek vienlaikus ar citas informācijas par patiesajiem labuma guvējiem aktualizāciju. Līdz ar to netiek radīts papildu administratīvais slogs šīs atbilstības nodrošināšanai.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kuras ir Reģistra vestajos reģistros reģistrētu tiesību subjektu patiesie labuma guvēji.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fiziskā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iespējams precīzi noteikt fizisko personu skaitu, uz kurām varētu attiekties prasība iesniegt pieteikumu Reģistrā par datu aizklāšanu, ja tiek konstatēts apdraudējums saistībā ar publiski pieejamo informāciju par patieso labuma guvēju, tā kā šādi apstākļi ir absolūti individuāli katrai juridiskajai personai un neprognozējami. Tāpat nav iespējams noteikt konkrētu pieteikuma sagatavošanai nepieciešamo cilvēkstundu skaitu, jo tas ir atkarīgs no lietas individuālās sarežģītības, proti, no tā, vai pastāvošais apdraudējums patiesajam labuma guvējam ir acīmredzams un viegli dokumentējams, vai arī nepieciešams apkopot dažādus pierādījumus, lai pamatotu konstatēto apdraudējumu. Attiecīgi administratīvo izmaksu novērtējums tiek veikts attiecībā uz vienu gadījumu, pieņemot, ka tiek sagatavots vidēji sarežģīts pieteikums un pieteikuma sagatavotājs izmanto juridiskās palīdzības sniedzēja pakalpojumus. Vidēji sarežģīta pieteikuma sagatavošanai juridiskās palīdzības sniedzējam varētu būt nepieciešamas aptuveni 15 cilvēkstundas, kas saistītas ar pamatojuma sagatavošanu un attiecīgo pierādījumu iegūšanu.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kuras ir Reģistra vestajos reģistros reģistrētu tiesību subjektu patiesie labuma guvēji.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fiziskā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Papildus pieteikuma sagatavošanai tiek paredzēta prasība ikgadēji iesniegt apliecinājumu, ka pastāvošais apdraudējums joprojām pastāv un datu aizklāšanu attiecībā uz konkrēto patiesā labuma guvēja informāciju ir vēl aktuāla. Ikgadējā apliecinājuma sagatavošana, salīdzinot ar sākotnējo pieteikumu, ir mazāk sarežģīts process, jo nav nepieciešams atkārtoti pierādīt apdraudējuma apstākļus, bet vienīgi apliecināt to pastāvēšanu. Paredzamais cilvēkstundu skaits šāda apliecinājuma sagatavošanai ir aptuveni 2 cilvēkstundas.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kuras ir Reģistra vestajos reģistros reģistrētu tiesību subjektu patiesie labuma guvēji.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1 452,00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fiziskā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1 452,00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Vidēji sarežģīta pieteikuma sagatavošanai juridiskās palīdzības sniedzējam varētu būt nepieciešamas aptuveni 15 cilvēkstundas, kas saistītas ar pamatojuma sagatavošanu un attiecīgo pierādījumu iegūšanu. Pieņemot, ka ārpakalpojuma vienas darba stundas vidējā likme ir 80,00 euro plus 21 % pievienotās vērtības nodoklis (turpmāk – PVN), vienas cilvēkstundas kopējā likme sastāda 96,80 euro. Tādējādi administratīvās izmaksas vidēji sarežģīta pieteikuma sagatavošanai, pieņemot juridiskās palīdzības izmantošanu, veido 1 452 euro (C=15 x 96,80).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kuras ir Reģistra vestajos reģistros reģistrētu tiesību subjektu patiesie labuma guvēji.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22,76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fiziskā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Papildus pieteikuma sagatavošanai tiek paredzēta prasība ikgadēji iesniegt apliecinājumu, ka pastāvošais apdraudējums joprojām pastāv un datu aizklāšanu attiecībā uz konkrēto patiesā labuma guvēja informāciju ir vēl aktuāla. Ikgadējā apliecinājuma sagatavošana, salīdzinot ar sākotnējo pieteikumu, ir mazāk sarežģīts process, jo nav nepieciešams atkārtoti pierādīt apdraudējuma apstākļus, bet vienīgi apliecināt to pastāvēšanu. Paredzamais cilvēkstundu skaits šāda apliecinājuma sagatavošanai ir aptuveni 2 cilvēkstundas. Ņemot vērā salīdzinoši zemo juridiskās sarežģītības pakāpi, parezumējams, ka apliecinājuma sagatavošanai nav nepieciešama juridiskā palīdzība. Tā kā nav vispusīgi nosakāmas, kāda stundas likme varētu būt attiecināma uz konkrēto gadījumu (ņemot vērā, ka attiecīgais patiesais labuma guvējs var būt jebkuras jomas speciālists vai nodarbinātais), tad piemēra aprēķinam tiek izmantota 2024. gada vidējā vienas stundas likme (11,38 euro pēc Centrālās statistikas pārvaldes datiem). Attiecīgi ikgadēja apliecinājuma sagatavošana nepieciešamības gadījumā rada administratīvās izmaksas 22,76 euro apmērā (C=2 x 11,38).</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1 474,76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Saistībā ar plānotajām izmaiņām reģistrējamās informācijas par patiesajiem labuma guvējiem apjomā, kā arī ar papildu pamatiem informācijas aizklāšanai un izmaiņām attiecībā uz īpašnieku, dalībnieku vai akcionāru publisko pieejamību, būs nepieciešami Reģistra informācijas sistēmas pielāgojumi (Reģistra pakalpojumu portālā, Reģistra informācijas sistēmas (turpmāk – URIS) reģistrācijas moduļos, Reģistra informācijas portālā un datu izplatīšanas servisos).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Minēto pielāgojumu izstrādei un ieviešanai 2026. gadā būs nepieciešams finansējums 175 000 euro apmērā (ekk 5000) (5184 ch × 27,90 euro/ch + 21 %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normu izpildei nepieciešamais finansējums ir paredzēts Informatīvajā ziņojumā "Par valsts budžeta likumprojektā  iekļaujamiem prioritārajiem pasākumiem 2026., 2027. un 2028. gadam" un atbalstīts Ministru kabineta 2025. gada 22.septembra sēdē (prot. Nr.38 1.§) Tieslietu ministrijas budžeta apakšprogrammā 06.01.00 "Juridisko personu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kas saistīta ar grozījumiem likumā par IAUI pievienošanu VID, uz valsts budžetu atspoguļota likumprojekta "Grozījumi Azartspēļu un izložu likumā" sākotnējās ietekmes (ex-ante) novērtējuma ziņojuma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izložu un azartspēļu nodevu un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informāciju no azartspēļu organizētājiem par ekspluatējamo automātu un spēļu galdu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Maksājumu pakalpojumu un elektroniskās naudas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aizliegumu uzsākt vai turpināt darījuma attiecības ar nelicencētiem azartspēļu organizētājiem, kā arī sniegs attiecīgu informāciju maksājumu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Preču un pakalpojumu loteriju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preču un pakalpojumu loteriju organizēšanas procesu un veiks jomas uzraudzības funkciju.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Starptautisko un Latvijas Republikas nacionālo sankciju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starptautiskajās un nacionālajās sankcijās noteikto ierobežojumu izpildi izložu un azartspēļu organizētāju darbā.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Elektronisko sakaru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piekļuves ierobežošanu nelicencētu interaktīvo azartspēļu vai izložu organizētāju domēna vārdam vai IP adresei.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Kredītiestāžu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sniegs informāciju kredītiestādēm par aizliegumu kredītiestādēm uzsākt vai turpināt darījuma attiecības ar azartspēļu organizētājiem vai tā starpnieku.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Administratīvo sodu likums par pārkāpumiem pārvaldes, sabiedriskās kārtības un valsts valodas lietošanas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administratīvo pārkāpumu procesu azartspēļu un izložu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Uzturlīdzekļu garantiju fonda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Uzturlīdzekļu garantiju fonda parādnieku reģistra autorizētā datu attēlošanas risinājuma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Azartspēļu un izložu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sabiedrības interešu un spēlētāju tiesību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2024. gada 17. decembra noteikumi Nr. 816 "Noteikumi par Oficiālās statistikas programmu 2025.–2027. gadam"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oficiālo statistiku par azartspēļu un izložu un preču un pakalpojumu loteriju statistiskajiem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2024. gada 13. augusta noteikumi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var tikt piesaistīta kā sadarbības partneris projekta sekmīgai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2022. gada 4. oktobra noteikumi Nr. 616 “Elektronisko sakaru komersantam pieprasīto noslodzes datu nodošanas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noslodzes datu pieprasīšanu un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2022. gada 16. augusta noteikumi Nr. 506 "Kārtība, kādā Izložu un azartspēļu uzraudzības inspekcija sagatavo un nosūta lēmumu par piekļuves ierobežošanu Latvijā nelicencētu interaktīvo azartspēļu organizētāju tīmekļvietnēm"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sagatavos lēmumus par Latvijas Republikā nelicencētu interaktīvo azartspēļu organizētāju tīmekļvietņu piekļuves ierobežošanu un nosūtīšanu elektronisko sakaru komersantam.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Ministru kabineta 2019. gada 10. decembra noteikumi Nr. 594 "Azartspēļu un izložu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uzraudzīs un kontrolēs, kā izložu un azartspēļu organizētāji ievēro Azartspēļu un izložu likumu, citus normatīvos aktus un attiecīgās azartspēles vai izlozes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Ministru kabineta 2019. gada 16. jūlija noteikumi Nr. 333 "No azartspēlēm un interaktīvajām izlozēm pašatteikušos personu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uzturēs pašatteikušos personu reģistru, nodrošinās informācijas apmaiņu ar spēļu organizētājiem un uzturēs aktuālo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Ministru kabineta 2019. gada 9. jūlija noteikumi Nr. 328 "Sankciju koordinācijas padomes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IAUI no Sankciju koordinācijas padomes sastāva, jo turpmāk to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Ministru kabineta 2018. gada 27. marta noteikumi Nr. 188 "Noteikumi par interaktīvās azartspēles vai interaktīvās izlozes organizēšanā izmantojamās spēles programmas atbilstības pārskatā iekļaujamo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interaktīvās azartspēles vai interaktīvās izlozes organizēšanā izmantojamās spēles programmas atbilstības pārskata izskatīšanu un ar to saistītās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Ministru kabineta 2018. gada 27. marta noteikumi Nr. 189 "Interaktīvo azartspēļu, interaktīvo izložu un izložu biļešu pārdošanas un dalības maksājumu pieņemšanas organizēšanas sistēmu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interaktīvo azartspēļu, interaktīvo izložu un izložu biļešu pārdošanas un dalības maksājumu pieņemšanas organizēšanas sistēmas uzraudzību.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Ministru kabineta 2017. gada 13. jūnija noteikumi Nr. 337 "Kārtība, kādā interaktīvo azartspēļu un interaktīvo izložu organizētājs iesniedz paziņojumu par pārskata ceturksni"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kas nosaka, ka turpmāk paziņojumu par pārskata ceturksnī iemaksāto likmju kopsummu un izmaksāto laimestu kopsummu un paziņojumu par pārskata ceturksnī pārdotajām biļetēm un izmaksāto laimestu kopsummu, kā arī kredītiestādes izziņu par darījumiem, kas pārskata ceturksnī veikti savstarpējos norēķinos ar spēlētājiem izmantotajā kontā iesniegs tikai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4.1.20. Ministru kabineta 2016. gada 20. decembra noteikumi Nr. 819 "Izložu un azartspēļu uzraudzības inspekcijas sniegtā maksas pakalpojuma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Tā kā minētos maksas pakalpojumus turpmāk sniegs VID, tad tie iekļaujami Ministru kabineta 2018. gada 19. jūnija noteikumos Nr. 345 "Valsts ieņēmumu dienesta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4.1.21. Ministru kabineta 2016. gada 20. decembra noteikumi Nr. 821 "Noteikumi par vienotās azartspēļu automātu kontroles un uzraudzības sistēmas ieviešanas un uzturēšanas kārtību, sistēmā iekļaujamiem datiem un to apmaiņas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vienotās azartspēļu automātu kontroles un uzraudzības sistēmas (turpmāk – vienotā sistēma (AKUS)) ieviešanu un uzturēšanu, prasību attiecībā uz azartspēļu automātu pieslēgšanu vienotajai sistēmai (AKUS), kā arī vienotajā sistēmā (AKUS) iekļaujamos datus un datu apmaiņas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4.1.22. Ministru kabineta 2015. gada 6. janvāra noteikumi Nr. 7 "Kārtība, kādā iesniedzams ziņojums par azartspēļu un izložu organizēšanu"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iestādi, kurai azartspēļu organizētāji iesniedz ziņojumu par azartspēļu un izložu organizēšanu pārskata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4.1.23. Ministru kabineta 2014. gada 11. februāra noteikumi Nr. 96 "Nodokļu un citu maksājumu reģistrēšanas elektronisko ierīču un iekārtu lietošanas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4.1.24. Ministru kabineta 2007. gada 10. aprīļa noteikumi Nr. 252 "Azartspēļu automāta, iekārtas un spēļu automāta spēles programmas reģistrācijas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turpmāk būs atbildīg par azartspēļu automātu, iekārtu un spēļu automātu spēles programmu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4.1.25. Ministru kabineta 2007. gada 2. janvāra noteikumi Nr. 16 "Preču un pakalpojumu loteriju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uzraudzību un kontroli, kā preču un pakalpojumu loterijas atļaujas saņēmējs ievēro Preču un pakalpojumu loteriju likumu, citus normatīvos aktus un loterijas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4.1.26. Ministru kabineta 2006. gada 19. decembra noteikumi Nr. 1043 "Azartspēļu un izložu organizācijas vienotā grāmatvedības uzskaites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azartspēļu organizētāju azartspēļu automātu inkasācijas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4.1.27. Ministru kabineta 2006. gada 19. septembra noteikumi Nr. 771 "Kazino apmeklētāju reģistrācijas un kazino apmeklētāju reģistrā iekļaujamās informācijas apstrādes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kurai turpmāk tiks nodota kazino apmeklētāju reģistrā iekļautā informācija par iepriekšējo kalendāro mēnesi.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4.1.28. Ministru kabineta 2006. gada 5. septembra noteikumi Nr. 741 "Kārtība, kādā biedrības, arodbiedrības un reliģiskās organizācijas saņem licenci vietēja mēroga vienreizējo izložu organizēšanai"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 par biedrības, arodbiedrības un reliģiskās organizācijas licences saņemšanu vietēja mēroga vienreizējo izložu organizēšanai.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4.1.29. Ministru kabineta 2004. gada 25. marta noteikumi Nr. 176 "Izložu un azartspēļu uzraudzības inspekcijas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jo IAUI funkcijas azartspēļu un izložu uzraudzības jomā turpmāk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4.1.30. Ministru kabineta 2003. gada 16. decembra noteikumi Nr. 701 "Ziņojuma par preču vai pakalpojumu loterijas organizēšanu iesniegšanas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kurai turpmāk iesniegs ziņojumu par preču vai pakalpojumu loterijas organizēšanu.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4.1.31. Ministru kabineta 2003. gada 29. aprīļa noteikumi Nr. 239 "Finanšu ministrijas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Finanšu ministrijas padotības iestāžu sarakstā, svītrojot IAUI, jo tā tiek likvidēta.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4.1.32. Ministru kabineta 2018. gada 19. jūnija noteikumi Nr. 345 "Valsts ieņēmumu dienesta maksas pakalpojumu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iekļaujot tos maksas pakalpojumus, kurus līdz šim sniedza IAUI (Ministru kabineta 2016. gada 20. decembra noteikumiem Nr. 819 "Izložu un azartspēļu uzraudzības inspekcijas sniegtā maksas pakalpojuma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4.1.33. Ministru kabineta 2025. gada 25. jūnija noteikumi Nr. 378 “Valsts ieņēmumu dienesta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precizētu VID uzdevumus un funkcijas, ko līdz šim veica IAUI.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4.1.34. Ministru kabineta 2016. gada 8. novembra rīkojums Nr. 665 “Par atļauju Finanšu ministrijai uzņemties valsts budžeta ilgtermiņa saistības, lai nodrošinātu Izložu un azartspēļu uzraudzības inspekcijas dalības maksu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piedalās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4.1.35. Likums “Par Latvijas Republikas Uzņēmumu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likumā “Par Latvijas Republikas Uzņēmumu reģistru” tiek precizētas atsevišķas tiesību normas, kurās norādīts informācijas par patiesajiem labuma guvējiem apjoms. Grozījumi veikti attiecībā uz informācijas par patiesajiem labuma guvējiem apjomu, kuru Reģistrs nodrošina atvērto datu veidā, juridisko veidojumu patieso labuma guvēju reģistrā papildus reģistrējamās ziņas par trešo valstu tiesību subjektiem, kā arī informācijas apjomā, kādu Reģistrs par patiesajiem labuma guvējiem nodod uz Eiropas Savienības reģistru savstarpējās savienojamības sistēmu (Beneficial ownership registers interconnection system (BORIS)).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32024L1640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31. maija Direktīva (ES) 2024/1640 par mehānismiem, kas dalībvalstīm jāievieš, lai nepieļautu finanšu sistēmas izmantošanu nelikumīgi iegūtu līdzekļu legalizēšanai vai teroristu finansēšanai, un ar ko groza Direktīvu (ES) 2019/1937 un ar ko groza un atceļ Direktīvu (ES) 2015/849.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transponēts Direktīvas Nr. 2024/1640 11., 12., 13. un 15. 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31. maija Direktīva (ES) 2024/1640 par mehānismiem, kas dalībvalstīm jāievieš, lai nepieļautu finanšu sistēmas izmantošanu nelikumīgi iegūtu līdzekļu legalizēšanai vai teroristu finansēšanai, un ar ko groza Direktīvu (ES) 2019/1937 un ar ko groza un atceļ Direktīvu (ES) 2015/849.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18.</w:t>
            </w:r>
            <w:r w:rsidR="00000000" w:rsidRPr="00000000" w:rsidDel="00000000">
              <w:rPr>
                <w:sz w:val="24"/>
                <w:vertAlign w:val="superscript"/>
                <w:rtl w:val="0"/>
              </w:rPr>
              <w:t xml:space="preserve">3</w:t>
            </w:r>
            <w:r w:rsidR="00000000" w:rsidRPr="00000000" w:rsidDel="00000000">
              <w:rPr>
                <w:sz w:val="24"/>
                <w:rtl w:val="0"/>
              </w:rPr>
              <w:t xml:space="preserve"> panta pirmā daļa, 18.</w:t>
            </w:r>
            <w:r w:rsidR="00000000" w:rsidRPr="00000000" w:rsidDel="00000000">
              <w:rPr>
                <w:sz w:val="24"/>
                <w:vertAlign w:val="superscript"/>
                <w:rtl w:val="0"/>
              </w:rPr>
              <w:t xml:space="preserve">6</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11. panta 2. punkts (attiecas uz viesiem apakšpunktiem).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18.</w:t>
            </w:r>
            <w:r w:rsidR="00000000" w:rsidRPr="00000000" w:rsidDel="00000000">
              <w:rPr>
                <w:sz w:val="24"/>
                <w:vertAlign w:val="superscript"/>
                <w:rtl w:val="0"/>
              </w:rPr>
              <w:t xml:space="preserve">3</w:t>
            </w:r>
            <w:r w:rsidR="00000000" w:rsidRPr="00000000" w:rsidDel="00000000">
              <w:rPr>
                <w:sz w:val="24"/>
                <w:rtl w:val="0"/>
              </w:rPr>
              <w:t xml:space="preserve"> panta pirmā daļa, 18.</w:t>
            </w:r>
            <w:r w:rsidR="00000000" w:rsidRPr="00000000" w:rsidDel="00000000">
              <w:rPr>
                <w:sz w:val="24"/>
                <w:vertAlign w:val="superscript"/>
                <w:rtl w:val="0"/>
              </w:rPr>
              <w:t xml:space="preserve">6</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18.</w:t>
            </w:r>
            <w:r w:rsidR="00000000" w:rsidRPr="00000000" w:rsidDel="00000000">
              <w:rPr>
                <w:sz w:val="24"/>
                <w:vertAlign w:val="superscript"/>
                <w:rtl w:val="0"/>
              </w:rPr>
              <w:t xml:space="preserve">3</w:t>
            </w:r>
            <w:r w:rsidR="00000000" w:rsidRPr="00000000" w:rsidDel="00000000">
              <w:rPr>
                <w:sz w:val="24"/>
                <w:rtl w:val="0"/>
              </w:rPr>
              <w:t xml:space="preserve"> panta pirmā daļa, 18.</w:t>
            </w:r>
            <w:r w:rsidR="00000000" w:rsidRPr="00000000" w:rsidDel="00000000">
              <w:rPr>
                <w:sz w:val="24"/>
                <w:vertAlign w:val="superscript"/>
                <w:rtl w:val="0"/>
              </w:rPr>
              <w:t xml:space="preserve">6</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jo atbilstoši likuma “Par Latvijas Republikas Uzņēmumu reģistru” 4.</w:t>
            </w:r>
            <w:r w:rsidR="00000000" w:rsidRPr="00000000" w:rsidDel="00000000">
              <w:rPr>
                <w:sz w:val="24"/>
                <w:vertAlign w:val="superscript"/>
                <w:rtl w:val="0"/>
              </w:rPr>
              <w:t xml:space="preserve">10</w:t>
            </w:r>
            <w:r w:rsidR="00000000" w:rsidRPr="00000000" w:rsidDel="00000000">
              <w:rPr>
                <w:sz w:val="24"/>
                <w:rtl w:val="0"/>
              </w:rPr>
              <w:t xml:space="preserve"> panta piektajai daļai informācija par patiesajiem labuma guvējiem tiek nodrošināta bez 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paredz paziņojuma iesniegšanu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18.</w:t>
            </w:r>
            <w:r w:rsidR="00000000" w:rsidRPr="00000000" w:rsidDel="00000000">
              <w:rPr>
                <w:sz w:val="24"/>
                <w:vertAlign w:val="superscript"/>
                <w:rtl w:val="0"/>
              </w:rPr>
              <w:t xml:space="preserve">1</w:t>
            </w:r>
            <w:r w:rsidR="00000000" w:rsidRPr="00000000" w:rsidDel="00000000">
              <w:rPr>
                <w:sz w:val="24"/>
                <w:rtl w:val="0"/>
              </w:rPr>
              <w:t xml:space="preserve"> panta ceturtā daļa, 18.</w:t>
            </w:r>
            <w:r w:rsidR="00000000" w:rsidRPr="00000000" w:rsidDel="00000000">
              <w:rPr>
                <w:sz w:val="24"/>
                <w:vertAlign w:val="superscript"/>
                <w:rtl w:val="0"/>
              </w:rPr>
              <w:t xml:space="preserve">2 </w:t>
            </w:r>
            <w:r w:rsidR="00000000" w:rsidRPr="00000000" w:rsidDel="00000000">
              <w:rPr>
                <w:sz w:val="24"/>
                <w:rtl w:val="0"/>
              </w:rPr>
              <w:t xml:space="preserve">panta pirmā daļa, 18.</w:t>
            </w:r>
            <w:r w:rsidR="00000000" w:rsidRPr="00000000" w:rsidDel="00000000">
              <w:rPr>
                <w:sz w:val="24"/>
                <w:vertAlign w:val="superscript"/>
                <w:rtl w:val="0"/>
              </w:rPr>
              <w:t xml:space="preserve">3</w:t>
            </w:r>
            <w:r w:rsidR="00000000" w:rsidRPr="00000000" w:rsidDel="00000000">
              <w:rPr>
                <w:sz w:val="24"/>
                <w:rtl w:val="0"/>
              </w:rPr>
              <w:t xml:space="preserve"> panta pirmā daļa, 18.</w:t>
            </w:r>
            <w:r w:rsidR="00000000" w:rsidRPr="00000000" w:rsidDel="00000000">
              <w:rPr>
                <w:sz w:val="24"/>
                <w:vertAlign w:val="superscript"/>
                <w:rtl w:val="0"/>
              </w:rPr>
              <w:t xml:space="preserve">6</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12. panta 1. punkta pirmās daļas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18.</w:t>
            </w:r>
            <w:r w:rsidR="00000000" w:rsidRPr="00000000" w:rsidDel="00000000">
              <w:rPr>
                <w:sz w:val="24"/>
                <w:vertAlign w:val="superscript"/>
                <w:rtl w:val="0"/>
              </w:rPr>
              <w:t xml:space="preserve">1</w:t>
            </w:r>
            <w:r w:rsidR="00000000" w:rsidRPr="00000000" w:rsidDel="00000000">
              <w:rPr>
                <w:sz w:val="24"/>
                <w:rtl w:val="0"/>
              </w:rPr>
              <w:t xml:space="preserve"> panta ceturtā daļa, 18.</w:t>
            </w:r>
            <w:r w:rsidR="00000000" w:rsidRPr="00000000" w:rsidDel="00000000">
              <w:rPr>
                <w:sz w:val="24"/>
                <w:vertAlign w:val="superscript"/>
                <w:rtl w:val="0"/>
              </w:rPr>
              <w:t xml:space="preserve">2</w:t>
            </w:r>
            <w:r w:rsidR="00000000" w:rsidRPr="00000000" w:rsidDel="00000000">
              <w:rPr>
                <w:sz w:val="24"/>
                <w:rtl w:val="0"/>
              </w:rPr>
              <w:t xml:space="preserve"> panta pirmā daļa,  18.</w:t>
            </w:r>
            <w:r w:rsidR="00000000" w:rsidRPr="00000000" w:rsidDel="00000000">
              <w:rPr>
                <w:sz w:val="24"/>
                <w:vertAlign w:val="superscript"/>
                <w:rtl w:val="0"/>
              </w:rPr>
              <w:t xml:space="preserve">3</w:t>
            </w:r>
            <w:r w:rsidR="00000000" w:rsidRPr="00000000" w:rsidDel="00000000">
              <w:rPr>
                <w:sz w:val="24"/>
                <w:rtl w:val="0"/>
              </w:rPr>
              <w:t xml:space="preserve"> panta pirmā daļa, 18.</w:t>
            </w:r>
            <w:r w:rsidR="00000000" w:rsidRPr="00000000" w:rsidDel="00000000">
              <w:rPr>
                <w:sz w:val="24"/>
                <w:vertAlign w:val="superscript"/>
                <w:rtl w:val="0"/>
              </w:rPr>
              <w:t xml:space="preserve">6</w:t>
            </w:r>
            <w:r w:rsidR="00000000" w:rsidRPr="00000000" w:rsidDel="00000000">
              <w:rPr>
                <w:sz w:val="24"/>
                <w:rtl w:val="0"/>
              </w:rPr>
              <w:t xml:space="preserve"> panta trešās daļas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12. panta 1. punkta pirmās daļas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18.</w:t>
            </w:r>
            <w:r w:rsidR="00000000" w:rsidRPr="00000000" w:rsidDel="00000000">
              <w:rPr>
                <w:sz w:val="24"/>
                <w:vertAlign w:val="superscript"/>
                <w:rtl w:val="0"/>
              </w:rPr>
              <w:t xml:space="preserve">1</w:t>
            </w:r>
            <w:r w:rsidR="00000000" w:rsidRPr="00000000" w:rsidDel="00000000">
              <w:rPr>
                <w:sz w:val="24"/>
                <w:rtl w:val="0"/>
              </w:rPr>
              <w:t xml:space="preserve"> panta ceturtā daļa, 18.</w:t>
            </w:r>
            <w:r w:rsidR="00000000" w:rsidRPr="00000000" w:rsidDel="00000000">
              <w:rPr>
                <w:sz w:val="24"/>
                <w:vertAlign w:val="superscript"/>
                <w:rtl w:val="0"/>
              </w:rPr>
              <w:t xml:space="preserve">2</w:t>
            </w:r>
            <w:r w:rsidR="00000000" w:rsidRPr="00000000" w:rsidDel="00000000">
              <w:rPr>
                <w:sz w:val="24"/>
                <w:rtl w:val="0"/>
              </w:rPr>
              <w:t xml:space="preserve"> panta pirmā daļa,  18.</w:t>
            </w:r>
            <w:r w:rsidR="00000000" w:rsidRPr="00000000" w:rsidDel="00000000">
              <w:rPr>
                <w:sz w:val="24"/>
                <w:vertAlign w:val="superscript"/>
                <w:rtl w:val="0"/>
              </w:rPr>
              <w:t xml:space="preserve">3</w:t>
            </w:r>
            <w:r w:rsidR="00000000" w:rsidRPr="00000000" w:rsidDel="00000000">
              <w:rPr>
                <w:sz w:val="24"/>
                <w:rtl w:val="0"/>
              </w:rPr>
              <w:t xml:space="preserve"> panta pirmā daļa, 18.</w:t>
            </w:r>
            <w:r w:rsidR="00000000" w:rsidRPr="00000000" w:rsidDel="00000000">
              <w:rPr>
                <w:sz w:val="24"/>
                <w:vertAlign w:val="superscript"/>
                <w:rtl w:val="0"/>
              </w:rPr>
              <w:t xml:space="preserve">6</w:t>
            </w:r>
            <w:r w:rsidR="00000000" w:rsidRPr="00000000" w:rsidDel="00000000">
              <w:rPr>
                <w:sz w:val="24"/>
                <w:rtl w:val="0"/>
              </w:rPr>
              <w:t xml:space="preserve"> panta trešās daļas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12. panta 1. punkta pirmās daļas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18.</w:t>
            </w:r>
            <w:r w:rsidR="00000000" w:rsidRPr="00000000" w:rsidDel="00000000">
              <w:rPr>
                <w:sz w:val="24"/>
                <w:vertAlign w:val="superscript"/>
                <w:rtl w:val="0"/>
              </w:rPr>
              <w:t xml:space="preserve">1</w:t>
            </w:r>
            <w:r w:rsidR="00000000" w:rsidRPr="00000000" w:rsidDel="00000000">
              <w:rPr>
                <w:sz w:val="24"/>
                <w:rtl w:val="0"/>
              </w:rPr>
              <w:t xml:space="preserve"> panta ceturtā daļa, 18.</w:t>
            </w:r>
            <w:r w:rsidR="00000000" w:rsidRPr="00000000" w:rsidDel="00000000">
              <w:rPr>
                <w:sz w:val="24"/>
                <w:vertAlign w:val="superscript"/>
                <w:rtl w:val="0"/>
              </w:rPr>
              <w:t xml:space="preserve">2</w:t>
            </w:r>
            <w:r w:rsidR="00000000" w:rsidRPr="00000000" w:rsidDel="00000000">
              <w:rPr>
                <w:sz w:val="24"/>
                <w:rtl w:val="0"/>
              </w:rPr>
              <w:t xml:space="preserve"> panta pirmā daļa,  18.</w:t>
            </w:r>
            <w:r w:rsidR="00000000" w:rsidRPr="00000000" w:rsidDel="00000000">
              <w:rPr>
                <w:sz w:val="24"/>
                <w:vertAlign w:val="superscript"/>
                <w:rtl w:val="0"/>
              </w:rPr>
              <w:t xml:space="preserve">3 </w:t>
            </w:r>
            <w:r w:rsidR="00000000" w:rsidRPr="00000000" w:rsidDel="00000000">
              <w:rPr>
                <w:sz w:val="24"/>
                <w:rtl w:val="0"/>
              </w:rPr>
              <w:t xml:space="preserve">panta pirmā daļa, 18.</w:t>
            </w:r>
            <w:r w:rsidR="00000000" w:rsidRPr="00000000" w:rsidDel="00000000">
              <w:rPr>
                <w:sz w:val="24"/>
                <w:vertAlign w:val="superscript"/>
                <w:rtl w:val="0"/>
              </w:rPr>
              <w:t xml:space="preserve">6</w:t>
            </w:r>
            <w:r w:rsidR="00000000" w:rsidRPr="00000000" w:rsidDel="00000000">
              <w:rPr>
                <w:sz w:val="24"/>
                <w:rtl w:val="0"/>
              </w:rPr>
              <w:t xml:space="preserve"> panta trešās daļas 6. punkta b) un c) apakšpunkts, Likumprojekta 1., 3.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12. panta 1. punkta pirmās daļas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18.</w:t>
            </w:r>
            <w:r w:rsidR="00000000" w:rsidRPr="00000000" w:rsidDel="00000000">
              <w:rPr>
                <w:sz w:val="24"/>
                <w:vertAlign w:val="superscript"/>
                <w:rtl w:val="0"/>
              </w:rPr>
              <w:t xml:space="preserve">1</w:t>
            </w:r>
            <w:r w:rsidR="00000000" w:rsidRPr="00000000" w:rsidDel="00000000">
              <w:rPr>
                <w:sz w:val="24"/>
                <w:rtl w:val="0"/>
              </w:rPr>
              <w:t xml:space="preserve"> panta ceturtā daļa, 18.</w:t>
            </w:r>
            <w:r w:rsidR="00000000" w:rsidRPr="00000000" w:rsidDel="00000000">
              <w:rPr>
                <w:sz w:val="24"/>
                <w:vertAlign w:val="superscript"/>
                <w:rtl w:val="0"/>
              </w:rPr>
              <w:t xml:space="preserve">2</w:t>
            </w:r>
            <w:r w:rsidR="00000000" w:rsidRPr="00000000" w:rsidDel="00000000">
              <w:rPr>
                <w:sz w:val="24"/>
                <w:rtl w:val="0"/>
              </w:rPr>
              <w:t xml:space="preserve"> panta pirmā daļa,  18.</w:t>
            </w:r>
            <w:r w:rsidR="00000000" w:rsidRPr="00000000" w:rsidDel="00000000">
              <w:rPr>
                <w:sz w:val="24"/>
                <w:vertAlign w:val="superscript"/>
                <w:rtl w:val="0"/>
              </w:rPr>
              <w:t xml:space="preserve">3</w:t>
            </w:r>
            <w:r w:rsidR="00000000" w:rsidRPr="00000000" w:rsidDel="00000000">
              <w:rPr>
                <w:sz w:val="24"/>
                <w:rtl w:val="0"/>
              </w:rPr>
              <w:t xml:space="preserve"> panta pirmā daļa, Likumprojekta 1., 3. un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12. panta 1. punkta pirmās daļas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18.</w:t>
            </w:r>
            <w:r w:rsidR="00000000" w:rsidRPr="00000000" w:rsidDel="00000000">
              <w:rPr>
                <w:sz w:val="24"/>
                <w:vertAlign w:val="superscript"/>
                <w:rtl w:val="0"/>
              </w:rPr>
              <w:t xml:space="preserve">3</w:t>
            </w:r>
            <w:r w:rsidR="00000000" w:rsidRPr="00000000" w:rsidDel="00000000">
              <w:rPr>
                <w:sz w:val="24"/>
                <w:rtl w:val="0"/>
              </w:rPr>
              <w:t xml:space="preserve"> panta pirmā daļa, 18.</w:t>
            </w:r>
            <w:r w:rsidR="00000000" w:rsidRPr="00000000" w:rsidDel="00000000">
              <w:rPr>
                <w:sz w:val="24"/>
                <w:vertAlign w:val="superscript"/>
                <w:rtl w:val="0"/>
              </w:rPr>
              <w:t xml:space="preserve">6</w:t>
            </w:r>
            <w:r w:rsidR="00000000" w:rsidRPr="00000000" w:rsidDel="00000000">
              <w:rPr>
                <w:sz w:val="24"/>
                <w:rtl w:val="0"/>
              </w:rPr>
              <w:t xml:space="preserve"> panta trešās daļas 6. punkta d) apakšpunkts, Likumprojekta 1., 3. un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12. panta 1.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18.</w:t>
            </w:r>
            <w:r w:rsidR="00000000" w:rsidRPr="00000000" w:rsidDel="00000000">
              <w:rPr>
                <w:sz w:val="24"/>
                <w:vertAlign w:val="superscript"/>
                <w:rtl w:val="0"/>
              </w:rPr>
              <w:t xml:space="preserve">3</w:t>
            </w:r>
            <w:r w:rsidR="00000000" w:rsidRPr="00000000" w:rsidDel="00000000">
              <w:rPr>
                <w:sz w:val="24"/>
                <w:rtl w:val="0"/>
              </w:rPr>
              <w:t xml:space="preserve"> panta pirmā daļa, 18.</w:t>
            </w:r>
            <w:r w:rsidR="00000000" w:rsidRPr="00000000" w:rsidDel="00000000">
              <w:rPr>
                <w:sz w:val="24"/>
                <w:vertAlign w:val="superscript"/>
                <w:rtl w:val="0"/>
              </w:rPr>
              <w:t xml:space="preserve">6 </w:t>
            </w:r>
            <w:r w:rsidR="00000000" w:rsidRPr="00000000" w:rsidDel="00000000">
              <w:rPr>
                <w:sz w:val="24"/>
                <w:rtl w:val="0"/>
              </w:rPr>
              <w:t xml:space="preserve">pants, likuma “Par Latvijas Republikas Uzņēmumu reģistru” 4.</w:t>
            </w:r>
            <w:r w:rsidR="00000000" w:rsidRPr="00000000" w:rsidDel="00000000">
              <w:rPr>
                <w:sz w:val="24"/>
                <w:vertAlign w:val="superscript"/>
                <w:rtl w:val="0"/>
              </w:rPr>
              <w:t xml:space="preserve">8</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12. panta 1.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2020. gada 7. janvāra noteikumi Nr. 23  “Latvijas Republikas Uzņēmumu reģistra informācijas izsniegšanas noteikumi un maksas pakalpojumu cenrādis”.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paredz fizisko un juridisko personu kategorijas, kurām ir leģitīmā interese iegūt informāciju par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netiek pārņemts, jo atbilstoši NILLTPFNL 18.</w:t>
            </w:r>
            <w:r w:rsidR="00000000" w:rsidRPr="00000000" w:rsidDel="00000000">
              <w:rPr>
                <w:sz w:val="24"/>
                <w:vertAlign w:val="superscript"/>
                <w:rtl w:val="0"/>
              </w:rPr>
              <w:t xml:space="preserve">3</w:t>
            </w:r>
            <w:r w:rsidR="00000000" w:rsidRPr="00000000" w:rsidDel="00000000">
              <w:rPr>
                <w:sz w:val="24"/>
                <w:rtl w:val="0"/>
              </w:rPr>
              <w:t xml:space="preserve"> panta pirmajai daļai un 18.</w:t>
            </w:r>
            <w:r w:rsidR="00000000" w:rsidRPr="00000000" w:rsidDel="00000000">
              <w:rPr>
                <w:sz w:val="24"/>
                <w:vertAlign w:val="superscript"/>
                <w:rtl w:val="0"/>
              </w:rPr>
              <w:t xml:space="preserve">6</w:t>
            </w:r>
            <w:r w:rsidR="00000000" w:rsidRPr="00000000" w:rsidDel="00000000">
              <w:rPr>
                <w:sz w:val="24"/>
                <w:rtl w:val="0"/>
              </w:rPr>
              <w:t xml:space="preserve"> pantam informācija par patiesajiem labuma guvējiem pieejamība tiek nodrošināta bez nepieciešamības pierādīt leģitīmu interesi.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paredz dalībvalsts pienākumu iesniegt paziņojumu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paredz patiesā labuma guvēja tiesības no centrālā reģistra saņemt informāciju par personām, kurām izsniegti tās dati, kā arī izņēmumus, kuros tiek aizsargāta datu saņēmēja identitāte.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netiek pārņemtas, jo, NILLTPFNL 18.</w:t>
            </w:r>
            <w:r w:rsidR="00000000" w:rsidRPr="00000000" w:rsidDel="00000000">
              <w:rPr>
                <w:sz w:val="24"/>
                <w:vertAlign w:val="superscript"/>
                <w:rtl w:val="0"/>
              </w:rPr>
              <w:t xml:space="preserve">3</w:t>
            </w:r>
            <w:r w:rsidR="00000000" w:rsidRPr="00000000" w:rsidDel="00000000">
              <w:rPr>
                <w:sz w:val="24"/>
                <w:rtl w:val="0"/>
              </w:rPr>
              <w:t xml:space="preserve"> panta pirmajā daļā noteiktā leģitīmā mērķa sasniegšanai, kā arī, lai nodrošinātu nacionālo un starptautisko sankciju pārbaudēm nepieciešamās informācijas pieejamību, informācijai par patiesajiem labuma guvējiem ir jābūt pieejamai ikvienai personai bez nepieciešamības veikt autentifikāciju un sevi identificēt. Līdz ar to centrālā reģistra rīcībā nav informācijas par personām, kas ir ieguvušas attiecīgā patiesā labuma guvēja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5.</w:t>
            </w:r>
            <w:r w:rsidR="00000000" w:rsidRPr="00000000" w:rsidDel="00000000">
              <w:rPr>
                <w:sz w:val="24"/>
                <w:vertAlign w:val="superscript"/>
                <w:rtl w:val="0"/>
              </w:rPr>
              <w:t xml:space="preserve">2</w:t>
            </w:r>
            <w:r w:rsidR="00000000" w:rsidRPr="00000000" w:rsidDel="00000000">
              <w:rPr>
                <w:sz w:val="24"/>
                <w:rtl w:val="0"/>
              </w:rPr>
              <w:t xml:space="preserve"> panta otrā daļa, Fizisko personu datu apstrādes likuma 27.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nosaka kārtību kādā dalībvalstis nodrošina leģitīmo interešu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atbilstoši NILLTPFNL 18.</w:t>
            </w:r>
            <w:r w:rsidR="00000000" w:rsidRPr="00000000" w:rsidDel="00000000">
              <w:rPr>
                <w:sz w:val="24"/>
                <w:vertAlign w:val="superscript"/>
                <w:rtl w:val="0"/>
              </w:rPr>
              <w:t xml:space="preserve">3</w:t>
            </w:r>
            <w:r w:rsidR="00000000" w:rsidRPr="00000000" w:rsidDel="00000000">
              <w:rPr>
                <w:sz w:val="24"/>
                <w:rtl w:val="0"/>
              </w:rPr>
              <w:t xml:space="preserve"> panta pirmajai daļai un 18.</w:t>
            </w:r>
            <w:r w:rsidR="00000000" w:rsidRPr="00000000" w:rsidDel="00000000">
              <w:rPr>
                <w:sz w:val="24"/>
                <w:vertAlign w:val="superscript"/>
                <w:rtl w:val="0"/>
              </w:rPr>
              <w:t xml:space="preserve">6</w:t>
            </w:r>
            <w:r w:rsidR="00000000" w:rsidRPr="00000000" w:rsidDel="00000000">
              <w:rPr>
                <w:sz w:val="24"/>
                <w:rtl w:val="0"/>
              </w:rPr>
              <w:t xml:space="preserve"> pantam informācija par patiesajiem labuma guvējiem pieejamība tiek nodrošināta bez nepieciešamības pierādīt leģitīmu interesi.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nosaka kritērijus, kas tiek ņemti vērā nosakot, vai pastāv leģitīma interese piekļūt patieso labuma guvēju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 netiek pārņemta, jo atbilstoši NILLTPFNL 18.</w:t>
            </w:r>
            <w:r w:rsidR="00000000" w:rsidRPr="00000000" w:rsidDel="00000000">
              <w:rPr>
                <w:sz w:val="24"/>
                <w:vertAlign w:val="superscript"/>
                <w:rtl w:val="0"/>
              </w:rPr>
              <w:t xml:space="preserve">3</w:t>
            </w:r>
            <w:r w:rsidR="00000000" w:rsidRPr="00000000" w:rsidDel="00000000">
              <w:rPr>
                <w:sz w:val="24"/>
                <w:rtl w:val="0"/>
              </w:rPr>
              <w:t xml:space="preserve"> panta pirmajai daļai un 18.</w:t>
            </w:r>
            <w:r w:rsidR="00000000" w:rsidRPr="00000000" w:rsidDel="00000000">
              <w:rPr>
                <w:sz w:val="24"/>
                <w:vertAlign w:val="superscript"/>
                <w:rtl w:val="0"/>
              </w:rPr>
              <w:t xml:space="preserve">6</w:t>
            </w:r>
            <w:r w:rsidR="00000000" w:rsidRPr="00000000" w:rsidDel="00000000">
              <w:rPr>
                <w:sz w:val="24"/>
                <w:rtl w:val="0"/>
              </w:rPr>
              <w:t xml:space="preserve"> pantam informācija par patiesajiem labuma guvējiem pieejamība tiek nodrošināta bez nepieciešamības pierādīt leģitīmu interesi.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nosaka, ka, ja piekļuvi informācijai pieprasa persona, kuras leģitīmās intereses jau ir pārbaudījis citas dalībvalsts centrālais reģistrs, uzskatāms, ka pārbaudes prasības ir izpildītas, vēršoties citas dalībvalsts centrālajā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atbilstoši NILLTPFNL 18.</w:t>
            </w:r>
            <w:r w:rsidR="00000000" w:rsidRPr="00000000" w:rsidDel="00000000">
              <w:rPr>
                <w:sz w:val="24"/>
                <w:vertAlign w:val="superscript"/>
                <w:rtl w:val="0"/>
              </w:rPr>
              <w:t xml:space="preserve">3</w:t>
            </w:r>
            <w:r w:rsidR="00000000" w:rsidRPr="00000000" w:rsidDel="00000000">
              <w:rPr>
                <w:sz w:val="24"/>
                <w:rtl w:val="0"/>
              </w:rPr>
              <w:t xml:space="preserve"> panta pirmajai daļai un 18.</w:t>
            </w:r>
            <w:r w:rsidR="00000000" w:rsidRPr="00000000" w:rsidDel="00000000">
              <w:rPr>
                <w:sz w:val="24"/>
                <w:vertAlign w:val="superscript"/>
                <w:rtl w:val="0"/>
              </w:rPr>
              <w:t xml:space="preserve">6</w:t>
            </w:r>
            <w:r w:rsidR="00000000" w:rsidRPr="00000000" w:rsidDel="00000000">
              <w:rPr>
                <w:sz w:val="24"/>
                <w:rtl w:val="0"/>
              </w:rPr>
              <w:t xml:space="preserve"> pantam informācijas par patiesajiem labuma guvējiem pieejamība tiek nodrošināta bez nepieciešamības pierādīt leģitīmu interesi.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nosaka, ka dalībvalstis nodrošina, ka par centrālajiem reģistriem atbildīgās struktūras pārbauda pieteikuma iesniedzēju identitāti, kad tie piekļūst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NILLTPFNL 18.</w:t>
            </w:r>
            <w:r w:rsidR="00000000" w:rsidRPr="00000000" w:rsidDel="00000000">
              <w:rPr>
                <w:sz w:val="24"/>
                <w:vertAlign w:val="superscript"/>
                <w:rtl w:val="0"/>
              </w:rPr>
              <w:t xml:space="preserve">3</w:t>
            </w:r>
            <w:r w:rsidR="00000000" w:rsidRPr="00000000" w:rsidDel="00000000">
              <w:rPr>
                <w:sz w:val="24"/>
                <w:rtl w:val="0"/>
              </w:rPr>
              <w:t xml:space="preserve"> panta pirmajā daļā noteiktā leģitīmā mērķa sasniegšanai, informācija par patiesajiem labuma guvējiem ir pieejama ikvienam bez nepieciešamības veikt autentifikāciju un sevis identifikāciju.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paredz, ka dalībvalstis nodrošina mehānismus, kas ļauj personām ar leģitīmu interesi atkārtoti piekļūt informācijai par patiesajiem labuma guvējiem bez nepieciešamības novērtēt viņu amatu vai nodarbošanos.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atbilstoši NILLTPFNL 18.</w:t>
            </w:r>
            <w:r w:rsidR="00000000" w:rsidRPr="00000000" w:rsidDel="00000000">
              <w:rPr>
                <w:sz w:val="24"/>
                <w:vertAlign w:val="superscript"/>
                <w:rtl w:val="0"/>
              </w:rPr>
              <w:t xml:space="preserve">3</w:t>
            </w:r>
            <w:r w:rsidR="00000000" w:rsidRPr="00000000" w:rsidDel="00000000">
              <w:rPr>
                <w:sz w:val="24"/>
                <w:rtl w:val="0"/>
              </w:rPr>
              <w:t xml:space="preserve"> panta pirmajai daļai un 18.</w:t>
            </w:r>
            <w:r w:rsidR="00000000" w:rsidRPr="00000000" w:rsidDel="00000000">
              <w:rPr>
                <w:sz w:val="24"/>
                <w:vertAlign w:val="superscript"/>
                <w:rtl w:val="0"/>
              </w:rPr>
              <w:t xml:space="preserve">6</w:t>
            </w:r>
            <w:r w:rsidR="00000000" w:rsidRPr="00000000" w:rsidDel="00000000">
              <w:rPr>
                <w:sz w:val="24"/>
                <w:rtl w:val="0"/>
              </w:rPr>
              <w:t xml:space="preserve"> pantam, informācijas par patiesajiem labuma guvējiem pieejamība tiek nodrošināta bez nepieciešamības pierādīt leģitīmu interesi.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nosaka termiņu, kādā centrālais reģistrs pārbauda personas leģitīmo interesi iegūt informāciju par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atbilstoši NILLTPFNL 18.</w:t>
            </w:r>
            <w:r w:rsidR="00000000" w:rsidRPr="00000000" w:rsidDel="00000000">
              <w:rPr>
                <w:sz w:val="24"/>
                <w:vertAlign w:val="superscript"/>
                <w:rtl w:val="0"/>
              </w:rPr>
              <w:t xml:space="preserve">3</w:t>
            </w:r>
            <w:r w:rsidR="00000000" w:rsidRPr="00000000" w:rsidDel="00000000">
              <w:rPr>
                <w:sz w:val="24"/>
                <w:rtl w:val="0"/>
              </w:rPr>
              <w:t xml:space="preserve"> panta pirmajai daļai un 18.</w:t>
            </w:r>
            <w:r w:rsidR="00000000" w:rsidRPr="00000000" w:rsidDel="00000000">
              <w:rPr>
                <w:sz w:val="24"/>
                <w:vertAlign w:val="superscript"/>
                <w:rtl w:val="0"/>
              </w:rPr>
              <w:t xml:space="preserve">6</w:t>
            </w:r>
            <w:r w:rsidR="00000000" w:rsidRPr="00000000" w:rsidDel="00000000">
              <w:rPr>
                <w:sz w:val="24"/>
                <w:rtl w:val="0"/>
              </w:rPr>
              <w:t xml:space="preserve"> pantam, informācijas par patiesajiem labuma guvējiem pieejamība tiek nodrošināta bez nepieciešamības pierādīt leģitīmu interesi.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nosaka kritērijus, pamatojoties uz kuriem centrālais reģistrs atsaka piekļuvi informācijai par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atbilstoši NILLTPFNL 18.</w:t>
            </w:r>
            <w:r w:rsidR="00000000" w:rsidRPr="00000000" w:rsidDel="00000000">
              <w:rPr>
                <w:sz w:val="24"/>
                <w:vertAlign w:val="superscript"/>
                <w:rtl w:val="0"/>
              </w:rPr>
              <w:t xml:space="preserve">3</w:t>
            </w:r>
            <w:r w:rsidR="00000000" w:rsidRPr="00000000" w:rsidDel="00000000">
              <w:rPr>
                <w:sz w:val="24"/>
                <w:rtl w:val="0"/>
              </w:rPr>
              <w:t xml:space="preserve"> panta pirmajai daļai un 18.</w:t>
            </w:r>
            <w:r w:rsidR="00000000" w:rsidRPr="00000000" w:rsidDel="00000000">
              <w:rPr>
                <w:sz w:val="24"/>
                <w:vertAlign w:val="superscript"/>
                <w:rtl w:val="0"/>
              </w:rPr>
              <w:t xml:space="preserve">6</w:t>
            </w:r>
            <w:r w:rsidR="00000000" w:rsidRPr="00000000" w:rsidDel="00000000">
              <w:rPr>
                <w:sz w:val="24"/>
                <w:rtl w:val="0"/>
              </w:rPr>
              <w:t xml:space="preserve"> pantam, informācijas par patiesajiem labuma guvējiem pieejamība tiek nodrošināta bez nepieciešamības pierādīt leģitīmu interesi.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paredz, ka centrālajam reģistram jāinformē persona par iemesliem, kādēļ tika atteikta piekļuve patieso labuma guvēju informācijai, un tam ir tiesības vēlāk atsaukt piekļuvi, pamatojoties uz jaunatklātiem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atbilstoši NILLTPFNL 18.</w:t>
            </w:r>
            <w:r w:rsidR="00000000" w:rsidRPr="00000000" w:rsidDel="00000000">
              <w:rPr>
                <w:sz w:val="24"/>
                <w:vertAlign w:val="superscript"/>
                <w:rtl w:val="0"/>
              </w:rPr>
              <w:t xml:space="preserve">3</w:t>
            </w:r>
            <w:r w:rsidR="00000000" w:rsidRPr="00000000" w:rsidDel="00000000">
              <w:rPr>
                <w:sz w:val="24"/>
                <w:rtl w:val="0"/>
              </w:rPr>
              <w:t xml:space="preserve"> panta pirmajai daļai un 18.</w:t>
            </w:r>
            <w:r w:rsidR="00000000" w:rsidRPr="00000000" w:rsidDel="00000000">
              <w:rPr>
                <w:sz w:val="24"/>
                <w:vertAlign w:val="superscript"/>
                <w:rtl w:val="0"/>
              </w:rPr>
              <w:t xml:space="preserve">6</w:t>
            </w:r>
            <w:r w:rsidR="00000000" w:rsidRPr="00000000" w:rsidDel="00000000">
              <w:rPr>
                <w:sz w:val="24"/>
                <w:rtl w:val="0"/>
              </w:rPr>
              <w:t xml:space="preserve"> pantam, informācijas par patiesajiem labuma guvējiem pieejamība tiek nodrošināta bez nepieciešamības pierādīt leģitīmu interesi.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atbilstoši NILLTPFNL 18.</w:t>
            </w:r>
            <w:r w:rsidR="00000000" w:rsidRPr="00000000" w:rsidDel="00000000">
              <w:rPr>
                <w:sz w:val="24"/>
                <w:vertAlign w:val="superscript"/>
                <w:rtl w:val="0"/>
              </w:rPr>
              <w:t xml:space="preserve">3</w:t>
            </w:r>
            <w:r w:rsidR="00000000" w:rsidRPr="00000000" w:rsidDel="00000000">
              <w:rPr>
                <w:sz w:val="24"/>
                <w:rtl w:val="0"/>
              </w:rPr>
              <w:t xml:space="preserve"> panta pirmajai daļai un 18.</w:t>
            </w:r>
            <w:r w:rsidR="00000000" w:rsidRPr="00000000" w:rsidDel="00000000">
              <w:rPr>
                <w:sz w:val="24"/>
                <w:vertAlign w:val="superscript"/>
                <w:rtl w:val="0"/>
              </w:rPr>
              <w:t xml:space="preserve">6</w:t>
            </w:r>
            <w:r w:rsidR="00000000" w:rsidRPr="00000000" w:rsidDel="00000000">
              <w:rPr>
                <w:sz w:val="24"/>
                <w:rtl w:val="0"/>
              </w:rPr>
              <w:t xml:space="preserve"> pantam, informācijas par patiesajiem labuma guvējiem pieejamība tiek nodrošināta bez nepieciešamības pierādīt leģitīmu interesi. Līdz ar to nav pārņemama prasība, kas paredz tiesas vai administratīvi tiesiskās aizsardzības līdzekļus piekļuves atteikuma vai atsaukšanas apstrīdēšanai.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Turklāt, atbilstoši Informācijas atklātības likuma 15. panta pirmajai daļai, iestādes izdotos administratīvos aktus par atteikumu sniegt informāciju vai izpildīt informācijas pieprasījumu var apstrīdēt un pārsūdzēt.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nosaka, ka centrālajam reģistram jāspēj atkārtoti veikt informācijas pieprasītāja amata vai nodarbošanās pārbaudi, lai pārbaudītu, vai viņam ir leģitīma interese piekļūt patiesā labuma guvēja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atbilstoši NILLTPFNL 18.</w:t>
            </w:r>
            <w:r w:rsidR="00000000" w:rsidRPr="00000000" w:rsidDel="00000000">
              <w:rPr>
                <w:sz w:val="24"/>
                <w:vertAlign w:val="superscript"/>
                <w:rtl w:val="0"/>
              </w:rPr>
              <w:t xml:space="preserve">3</w:t>
            </w:r>
            <w:r w:rsidR="00000000" w:rsidRPr="00000000" w:rsidDel="00000000">
              <w:rPr>
                <w:sz w:val="24"/>
                <w:rtl w:val="0"/>
              </w:rPr>
              <w:t xml:space="preserve"> panta pirmajai daļai un 18.</w:t>
            </w:r>
            <w:r w:rsidR="00000000" w:rsidRPr="00000000" w:rsidDel="00000000">
              <w:rPr>
                <w:sz w:val="24"/>
                <w:vertAlign w:val="superscript"/>
                <w:rtl w:val="0"/>
              </w:rPr>
              <w:t xml:space="preserve">6</w:t>
            </w:r>
            <w:r w:rsidR="00000000" w:rsidRPr="00000000" w:rsidDel="00000000">
              <w:rPr>
                <w:sz w:val="24"/>
                <w:rtl w:val="0"/>
              </w:rPr>
              <w:t xml:space="preserve"> pantam, informācijas par patiesajiem labuma guvējiem pieejamība tiek nodrošināta bez nepieciešamības pierādīt leģitīmu interesi. Attiecīgi netiek pārbaudīts informācijas ieguvēja amats vai nodarbošanās.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nosaka, ka personām, kurām ir piešķirta piekļuve patiesā labuma guvēju informācijai, ir pienākums paziņot centrālajam reģistram par izmaiņām, kuru dēļ var tikt zaudēta leģitīmā interese informācijas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atbilstoši NILLTPFNL 18.</w:t>
            </w:r>
            <w:r w:rsidR="00000000" w:rsidRPr="00000000" w:rsidDel="00000000">
              <w:rPr>
                <w:sz w:val="24"/>
                <w:vertAlign w:val="superscript"/>
                <w:rtl w:val="0"/>
              </w:rPr>
              <w:t xml:space="preserve">3</w:t>
            </w:r>
            <w:r w:rsidR="00000000" w:rsidRPr="00000000" w:rsidDel="00000000">
              <w:rPr>
                <w:sz w:val="24"/>
                <w:rtl w:val="0"/>
              </w:rPr>
              <w:t xml:space="preserve"> panta pirmajai daļai un 18.</w:t>
            </w:r>
            <w:r w:rsidR="00000000" w:rsidRPr="00000000" w:rsidDel="00000000">
              <w:rPr>
                <w:sz w:val="24"/>
                <w:vertAlign w:val="superscript"/>
                <w:rtl w:val="0"/>
              </w:rPr>
              <w:t xml:space="preserve">6</w:t>
            </w:r>
            <w:r w:rsidR="00000000" w:rsidRPr="00000000" w:rsidDel="00000000">
              <w:rPr>
                <w:sz w:val="24"/>
                <w:rtl w:val="0"/>
              </w:rPr>
              <w:t xml:space="preserve"> pantam, informācijas par patiesajiem labuma guvējiem pieejamība tiek nodrošināta bez nepieciešamības pierādīt leģitīmu interesi.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13.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jo atbilstoši likuma “Par Latvijas Republikas Uzņēmumu reģistru” 4.</w:t>
            </w:r>
            <w:r w:rsidR="00000000" w:rsidRPr="00000000" w:rsidDel="00000000">
              <w:rPr>
                <w:sz w:val="24"/>
                <w:vertAlign w:val="superscript"/>
                <w:rtl w:val="0"/>
              </w:rPr>
              <w:t xml:space="preserve">10</w:t>
            </w:r>
            <w:r w:rsidR="00000000" w:rsidRPr="00000000" w:rsidDel="00000000">
              <w:rPr>
                <w:sz w:val="24"/>
                <w:rtl w:val="0"/>
              </w:rPr>
              <w:t xml:space="preserve"> panta piektajai daļai informācija par patiesajiem labuma guvējiem tiek nodrošināta bez 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Nr.2024/1640 15.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NILLTPFNL 18.</w:t>
            </w:r>
            <w:r w:rsidR="00000000" w:rsidRPr="00000000" w:rsidDel="00000000">
              <w:rPr>
                <w:sz w:val="24"/>
                <w:vertAlign w:val="superscript"/>
                <w:rtl w:val="0"/>
              </w:rPr>
              <w:t xml:space="preserve">3</w:t>
            </w:r>
            <w:r w:rsidR="00000000" w:rsidRPr="00000000" w:rsidDel="00000000">
              <w:rPr>
                <w:sz w:val="24"/>
                <w:rtl w:val="0"/>
              </w:rPr>
              <w:t xml:space="preserve"> panta otrā daļa, Likumprojekta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Pārsniedz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papildus informācijai par patiesajiem labuma guvējiem, tiek reģistrēta arī informācija par kapitālsabiedrību dalībniekiem/akcionāriem, kā arī individuālo uzņēmumu īpašniekiem, paredzēts, ka, nosakot ierobežotu piekļuvi patiesā labuma guvēja informācijai, šāds ierobežojums tiks noteikts arī uz reģistrētajām ziņām par patieso labuma guvēju attiecīgajā statusā. Pretējā gadījumā netiek nodrošināta efektīva patiesā labuma guvēja aizsardzība.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Par patieso labuma guvēju informācijas pieejamību bez nepieciešamības pamatot leģitīmo interesi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 Nr. 2024/1640 imperatīvi nenosaka dalībvalstu pienākumu padarīt patieso labuma guvēju informāciju pieejamu tikai pēc leģitīmās intereses pierādīšanas, bet gan paredz minimālo piekļuves standartu. Proti, kā minimums, dalībvalstīm ir jānodrošina, ka patieso labuma guvēju informācija ir pieejama fiziskām un juridiskam personām, kuras spēj pierādīt leģitīmu interesi minētās informācijas ieguvē. Tomēr no Direktīvas Nr. 2024/1640 teksta neizriet aizliegums dalībvalstīm paredzēt, ka informācija par patiesajiem labuma guvējiem ir brīvi pieejama bez leģitīmās intereses pierādīšanas, ja tam ir cits leģitīms mērķis, kuru tādā pašā kvalitātē nav iespējams sasniegt ar privātpersonai mazāk ierobežojošiem līdzekļiem un ja šis ierobežojums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2023. gada 13. jūnija sēdē apstiprinātajā informatīvajā ziņojumā “Par Eiropas Savienības Tiesas 2022. gada 22. novembra spriedumu apvienotajās lietās C-37/20 un C-601/20 un patieso labuma guvēju ziņu turpmāku pieejamību” (turpmāk – Informatīvais ziņojums) ir norādīts, ka, izvērtējot spriedumā norādīto un Latvijas nacionālo regulējumu, secināms, ka nav pamata mainīt līdzšinējo pieeju, nodrošinot ziņu par patiesajiem labuma guvējiem pieejamību ikvienam sabiedrības loceklim bez nepieciešamības pierādīt tā leģitīmo interesi. Šāds secinājums lielā mērā saistīts ar apstākli, ka Latvijā ikvienam tiek nodrošināta publiska piekļuve informācijai par patiesajiem labuma guvējiem, lai sasniegtu plašāku leģitīmo mērķu klāstu, ne tikai lai novērstu noziedzīgi iegūtu līdzekļu legalizāciju. Informatīvajā ziņojumā ir īpaši uzsvērts, ka ikviena sabiedrības locekļa piekļuvei informācijai par patiesajiem labuma guvējiem ir būtiska nozīme, lai nodrošinātu, ka tiek ievērotas starptautiskās un nacionālās sankcijas. Kopš 2023. gada sankciju, īpaši Eiropas Savienības noteikto, nozīme nav mazinājusies. Līdz ar to arī šobrīd brīva pieeja informācijai par patiesajiem labuma guvējiem bez leģitīmas intereses pierādīšanas ir nepieciešama, lai ikviens sabiedrības loceklis spētu ievērot starptautiskās un nacionālās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minēto, norādāms, ka tiesiskais pamats ziņu par patiesajiem labuma guvējiem pieejamībai ikvienam sabiedrības loceklim bez nepieciešamības pierādīt leģitīmo interesi neizriet no Direktīvas Nr. 2024/1640 un tajā noteiktā mērķa – novērst noziedzīgi iegūtu līdzekļu legalizāciju, bet gan no citiem leģitīmiem mērķiem, kas nostiprināti NILLTPFNL 18.</w:t>
            </w:r>
            <w:r w:rsidR="00000000" w:rsidRPr="00000000" w:rsidDel="00000000">
              <w:rPr>
                <w:sz w:val="24"/>
                <w:vertAlign w:val="superscript"/>
                <w:rtl w:val="0"/>
              </w:rPr>
              <w:t xml:space="preserve">3 </w:t>
            </w:r>
            <w:r w:rsidR="00000000" w:rsidRPr="00000000" w:rsidDel="00000000">
              <w:rPr>
                <w:sz w:val="24"/>
                <w:rtl w:val="0"/>
              </w:rPr>
              <w:t xml:space="preserve">panta pirmajā daļā, kā arī Starptautisko un Latvijas Republikas nacionālo sankciju likumā. Atbilstoši Informatīvajā ziņojumā norādītajam, šos citus leģitīmos mērķus tādā pašā kvalitātē nav iespējams sasniegt, ja piekļuve informācijai tiek nodrošināta tikai pēc leģitīmās intereses pierādīšanas. Tāpat arī privātpersonām noteiktie pamattiesību ierobežojumi šajā kontekstā ir uzskatāmi par samērīgiem.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2024/1640 11. panta 5. punkts. Līdz 2026. gada 10. oktobrim Eiropas Komisijai jāziņo par kompetento iestāžu un pašregulējuma struktūru sarakstu un to atbildīgo subjektu kategorijām, kuriem tika piešķirta piekļuve patiesā labuma guvēju reģistram, kā arī par atbildīgajiem subjektiem pieejamās informācijas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2024/1640 12. panta 3. punkts. Līdz 2026. gada 10. jūlijam Eiropas Komisijai jāziņo par to publisko iestāžu sarakstu, kurām ir tiesības iepazīties ar informāciju par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2024/1640 15. pants. Reģistrs publicē ikgadēju statistiku par gadījumiem, kad informācija par patiesajiem labuma guvējiem atzīta par ierobežotas pieejamības informāciju. Minētā statistika tiek ziņota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jo tiek izstrādāts atbilstoši 2026. gada budžeta sagatavošanas procesā atbalstītajiem izdevumu pārskatīšanas rezultātiem un ir izskatāms likumprojekta "Par valsts budžetu 2026. gadam un budžeta ietvaru 2026., 2027. un 2028. gadam" pavadošo likumprojektu paketē.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tā anotācija un Ministru kabineta sēdes protokollēmuma projekts būs publiski pieejami Vienotajā tiesību aktu projektu izstrādes un saskaņošanas portālā. Ņemot vērā, ka likumprojekts ir saistīts ar tiešās pārvaldes iestāžu (VID un IAUI) līdzšinējo darbību, kas cita starpā neparedz ieviest jaunas politiskās iniciatīvas un būtiski nemaina spēkā esošo normatīvo regulējumu, nav piemērojama Ministru kabineta 2024. gada 15. oktobra noteikumos Nr. 639 "Sabiedrības līdzdalības kārtība attīstības plānošanas procesā" ietvertā kārtība sabiedrības līdzdalībai projekta izstrādē.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Izložu un azartspēļu uzraudzības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Republikas Uzņēmumu reģistrs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Reģistram būs pienākums izskatīt pieteikumus, kuros lūgts nodrošināt patiesā labuma guvēja informācijas aizklāšanu, kā arī izvērtēt, vai konkrētajā gadījumā patiesajam labuma guvējam pastāv apdraudējums. Kā jau norādīts anotācijas 2.3. sadaļā, nav iespējams precīzi prognozēt, cik pieteikumi tiks iesniegti, turklāt katra pieteikuma izskatīšanai nepieciešamais laika patēriņš būs atkarīgs no tā sarežģītības pakāpes. Laikposmā no 2017. gada 1. decembra, kad Reģistrs uzsāka patieso labuma guvēju informācijas reģistrēšanu atbilstoši esošajai kārtībai, Reģistrā ir saņemti mazāk nekā 10 pieteikumi par patiesā labuma guvēja datu aizklāšanu saistībā ar konstatētu apdraudējumu. Tomēr nav iespējams prognozēt, kāda būs ietekme uz pieteikumu skaitu, ja šādas patiesā labuma guvēja tiesības tiks nostiprinātas normatīvajā aktā. Saskaņā ar Reģistra sniegto informāciju viena vidēji sarežģīta pieteikuma izskatīšanai nepieciešamas aptuveni 16 cilvēkstundas. Aprēķinot vidējo darba samaksu, viena Reģistra valsts notāra darba stunda izmaksā 10,69 euro. Attiecīgi, viena vidēji sarežģīta pieteikuma izskatīšanas administratīvās izmaksas ir aptuveni 171,04 euro (C=16 x 10,69).</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Izložu un azartspēļu uzraudzības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Republikas Uzņēmumu reģistrs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175 000,00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nodrošinātu iepriekš nereģistrētas informācijas par patiesajiem labuma guvējiem reģistrāciju, tostarp informāciju par patieso labuma guvēju vairākām valstspiederībām un īstenotās kontroles apjomu, kā arī paredzētu iespēju patieso labuma guvēju informāciju aizklāt papildu gadījumos, kuri līdz šim normatīvajos aktos nebija noteikti, Reģistram ir nepieciešams papildu finansējums URIS pielāgošanai. Attiecīgais finanšu aprēķins ir iekļauts anotācijas 3. sadaļā.</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175 000,00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IAUI, tās funkcijas nododot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funkcijas paplašināsies, jo IAUI īstenotās funkcijas noziedzīgi iegūtu līdzekļu legalizācijas un terorisma un proliferācijas finansēšanas novēršanas jomā, tiks nodotas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paplašinātas Reģistra funkcijas, paredzot papildu informācijas par patiesajiem labuma guvējiem reģistrāciju, pienākumu izvērtēt patieso labuma guvēju pieteikumus, kuros, pamatojoties uz pastāvošu apdraudējumu, ir lūgta informācijas par tiem aizklāšana, kā arī pienākumu nodrošināt ziņu aizklāšanu par individuālo uzņēmumu īpašniekiem, kapitālsabiedrību dalībniekiem vai akcionāriem, ja attiecīgajā informācijā ir ietverta informācija par patieso labuma guvēju, kurai ir noteikts ierobežotas pieejamības statuss.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ieviešanai paredzami papildinājumi Reģistra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 datu apstrāde plašākā apjomā. Reģistrs, reģistrējot informāciju par patiesajiem labuma guvējiem, reģistrēs plašāku informācija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nodrošināta patieso labuma guvēju datu aizsardzība īpašos gadījumos, ja šo datu publiskā pieejamība var radīt patiesā labuma guvējam apdraudējumu. Attiecīgi tiks samazināta fizisko personu datu apstrāde (tās apjoms), samazinot to pieejamību ikvienai personai. Likumprojektā noteiktā fizisko personas datu apstrāde atbilst Fizisko personu datu apstrādes likuma 25. panta pirmās daļas prasībām, kā arī Eiropas parlamenta un Padomes 2016. gada 27. aprīļa Regulas  (ES) 2016/679 par fizisku personu aizsardzību attiecībā uz personas datu apstrādi un šādu datu brīvu apriti un ar ko atceļ Direktīvu 95/46/EK (Vispārīgā datu aizsardzības regula) 6. panta 1. punkta c) apakšpunkta pamatojumam fizisko personu datu apstrādei.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25-TA-2071</w:t>
    </w:r>
    <w:r>
      <w:br/>
    </w:r>
    <w:r w:rsidR="00000000" w:rsidRPr="00000000" w:rsidDel="00000000">
      <w:rPr>
        <w:rtl w:val="0"/>
      </w:rPr>
      <w:t xml:space="preserve">Izdrukāts 29.07.2026. 23.59 - 3.0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25-TA-2071</w:t>
    </w:r>
    <w:r>
      <w:br/>
    </w:r>
    <w:r w:rsidR="00000000" w:rsidRPr="00000000" w:rsidDel="00000000">
      <w:rPr>
        <w:rtl w:val="0"/>
      </w:rPr>
      <w:t xml:space="preserve">Izdrukāts 29.07.2026. 23.59 - 3.0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anotācija_(ex_ante)_25-TA-2071.docx</dc:title>
</cp:coreProperties>
</file>

<file path=docProps/custom.xml><?xml version="1.0" encoding="utf-8"?>
<Properties xmlns="http://schemas.openxmlformats.org/officeDocument/2006/custom-properties" xmlns:vt="http://schemas.openxmlformats.org/officeDocument/2006/docPropsVTypes"/>
</file>