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24. maija noteikumos Nr. 411 "Autopārvadājumu kontroles organizēšanas un īstenošanas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24. maija noteikumos Nr. 411 "Autopārvadājumu kontroles organizēšanas un īstenošanas kārtība" (turpmāk - Noteikumu projekts) izstrādāts, lai piemērotu Eiropas Komisijas 2022. gada 2. maija Īstenošanas regulu (ES) 2022/695, ar ko paredz noteikumus par to, kā Eiropas Parlamenta un Padomes Direktīvu 2006/22/EK piemērot attiecībā uz vienoto formulu transporta uzņēmumu riska novērtējuma aprēķināšanai (turpmāk – Īstenošanas regula). Noteikumu projektā nepieciešams arī aktualizēt informatīvās atsauces uz Eiropas Savienības direktīvām par vienotu kārtību, kādā pārbauda bīstamo kravu pārvadāšanu pa autoceļiem.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Īstenošanas regulas prasību attiecībā uz vienoto formulu transporta uzņēmuma riska novērtējuma aprēķināšanai īstenošanu nacionālajā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24. maija noteikumu Nr. 411 "Autopārvadājumu kontroles organizēšanas un īstenošanas kārtība" (turpmāk - MK noteikumi Nr 411) 3. pielikumā ir ietvertas formulas un kritēriji uzņēmuma pārkāpumu punktu skaita, riska skaitļa un riska pakāpes noteikšanai. Līdz Īstenošanas regulas pieņemšanas katra dalībvalsts bija izstrādājusi savu riska novērtējumu sistēmu. Valstu riska novērtējuma sistēmas, ko dalībvalstis ieviesušas, lai kontroli sekmīgāk vērstu uz uzņēmumiem ar augstu riska novērtējumu, pamatojās uz atšķirīgām valstu noteiktām aprēķināšanas metodēm. Tas traucēja riska skaitlisko vērtējumu salīdzināšanu un informācijas apmaiņu par tiem pārrobežu izpildes kontekstā.  2022. gadā Eiropas Komisija ir pieņēmusi Īstenošanas regulu attiecībā uz vienoto formulu transporta uzņēmuma riska novērtējuma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ir vispārpiemērojami tiesību akti, kas uzliek saistības kopumā un ir tieši piemērojamas visās dalībvalstīs. No regulu tiešās iedarbības kritērija izriet regulu pārrakstīšanas aizliegums.  Līdz ar to Īstenošanas regulas normas nav transponējamas nacionālajos normatīvajos aktos. Nacionālajā līmenī ir nepieciešams nodrošināt to normu īstenošanu, kas šādu īstenošanas nodrošināšanu nepārprotami prasa (piemēram, jānosaka kompetentā vai atbildīgā iestāde,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nacionālajos normatīvajos aktos paredzētais regulējums nonāk pretrunā ar Eiropas Savienības regulējumā noteiktām prasībām, jāpiemēro Eiropas Savienības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pastāv izņēmumi no vispārīgā aizlieguma pārrakstīt regulu normas nacionālajās tiesībās. Tieslietu ministrijas 2014.gada publikācijā “Eiropas Savienības tiesību ieviešanas rokasgrāmata” 31.lpp. norādīts, ka atsevišķu regulu normu pārrakstīšanas izņēmums būtu pieļaujams vienīgi tad, ja izpildās vismaz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nepieciešams, lai nodrošinātu pilnīgu ES un nacionālo tiesību normu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atsevišķu regulu normu pārrakstīšanas privātpersonām nav iespējams pilnībā izprast to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regulu normu pārrakstīšanu nav iespējams aizstāt ar atsauces uz konkrēto regulas normu ietveršanu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privātpersonām iespēju pilnībā izprast tiesības un pienākumus,kā arī ņemot vērā, ka MK noteikumu Nr. 411 3. pielikuma redakcija ir tapusi pirms Īstenošanas regulas pieņemšanas, lietderīgāk būtu Regulas 2022/695 pielikumā noteikto vienoto formulu transporta uzņēmumu riska novērtējuma aprēķināšanai un prasības tās piemērošanai iekļaut MK noteikumu Nr. 411 saturā, izsakot 3.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regulas ievaddaļas 4.punktā ir noteikts, ka nosakot riska formulu, Eiropas Komisijai būtu jāņem vērā visi pārkāpumi, kas var ietekmēt uzņēmumu riska novērtējumu, tai skaitā pārkāpumi, kas norādīti  Eiropas Parlamenta un Padomes Regulā (EK) 561/2006 [1], Eiropas Parlamenta un Padomes Regulā (ES) 165/2014 [2], nacionālajos normatīvajos aktos minētie pārkāpumi, ar kuriem transponē Eiropas Parlamenta un Padomes Direktīvu 2002/15/EK [3] un pārkāpumi, kas norādīti Eiropas Parlamenta un Padomes 2009. gada 21. oktobra Regulas (EK) 1071/2009 [4] 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Parlamenta un Padomes 2006. gada 15. marta Regula (EK) Nr. 561/2006, ar ko paredz dažu sociālās jomas tiesību aktu saskaņošanu saistībā ar autotransportu, groza Padomes Regulu (EEK) Nr. 3821/85 un Padomes Regulu (EK) Nr. 2135/98 un atceļ Padomes Regulu (EEK) Nr. 3820/85;</w:t>
      </w:r>
      <w:r w:rsidR="00000000" w:rsidRPr="00000000" w:rsidDel="00000000">
        <w:rPr>
          <w:i w:val="1"/>
          <w:rtl w:val="0"/>
        </w:rPr>
        <w:t xml:space="preserve">[2] Eiropas Parlamenta un Padomes 2014. gada 4. februāra Regula (ES) Nr. 165/2014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w:t>
      </w:r>
      <w:r w:rsidR="00000000" w:rsidRPr="00000000" w:rsidDel="00000000">
        <w:rPr>
          <w:i w:val="1"/>
          <w:rtl w:val="0"/>
        </w:rPr>
        <w:t xml:space="preserve">[3]  Eiropas Parlamenta un Padomes 2002. gada 11. marta Direktīva 2002/15/EK par darba laika organizēšanu personām, kas ir autotransporta apkalpes locekļi;</w:t>
      </w:r>
      <w:r w:rsidR="00000000" w:rsidRPr="00000000" w:rsidDel="00000000">
        <w:rPr>
          <w:i w:val="1"/>
          <w:rtl w:val="0"/>
        </w:rPr>
        <w:t xml:space="preserve">[4] Eiropas Parlamenta un Padomes 2009. gada 21. oktobra Regula (EK) Nr. 1071/2009, ar ko nosaka kopīgus noteikumus par autopārvadātāja profesionālās darbības veikšanas nosacījumiem un atceļ Padomes Direktīvu 96/26/EK.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paplašināti nosacījumi attiecībā uz pārkāpumiem atbilstoši Regulā noteiktajam, svītrojot noteikumu Nr.411 5. punktā skaitli un vārdu “1. panta”, precizēta normatīvajā aktā lietotā terminoloģija (5., 5.1, 36.pants, 4.pielikums)  un, ievērojot vērtējamo pārkāpumu apjoma palielināšanos, pagarināts pārbaudāmā uzņēmuma dokumentu kontroles, kas notiek Valsts policijas vai pašvaldības kontroles dienesta telpās, termiņš no 10 darbdienām uz 30 dienām (14.pants).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2022. gada 19. oktobra Direktīva (ES) 2022/1999 par vienotu kārtību, kādā pārbauda bīstamo kravu pārvadāšanu pa autoceļiem (kodifikācija) (</w:t>
      </w:r>
      <w:r w:rsidR="00000000" w:rsidRPr="00000000" w:rsidDel="00000000">
        <w:rPr>
          <w:rtl w:val="0"/>
        </w:rPr>
        <w:t xml:space="preserve">turpmāk - Direktīva (ES) 2022/1999) aizstāj </w:t>
      </w:r>
      <w:r w:rsidR="00000000" w:rsidRPr="00000000" w:rsidDel="00000000">
        <w:rPr>
          <w:i w:val="1"/>
          <w:rtl w:val="0"/>
        </w:rPr>
        <w:t xml:space="preserve">Padomes 1995. gada 6. oktobra Direktīvu 95/50/EK par vienotu kārtību, kādā pārbauda bīstamo kravu pārvadāšanu pa </w:t>
      </w:r>
      <w:r w:rsidR="00000000" w:rsidRPr="00000000" w:rsidDel="00000000">
        <w:rPr>
          <w:i w:val="1"/>
          <w:rtl w:val="0"/>
        </w:rPr>
        <w:t xml:space="preserve">autoceļiem </w:t>
      </w:r>
      <w:r w:rsidR="00000000" w:rsidRPr="00000000" w:rsidDel="00000000">
        <w:rPr>
          <w:rtl w:val="0"/>
        </w:rPr>
        <w:t xml:space="preserve">(turpmāk</w:t>
      </w:r>
      <w:r w:rsidR="00000000" w:rsidRPr="00000000" w:rsidDel="00000000">
        <w:rPr>
          <w:i w:val="1"/>
          <w:rtl w:val="0"/>
        </w:rPr>
        <w:t xml:space="preserve"> - </w:t>
      </w:r>
      <w:r w:rsidR="00000000" w:rsidRPr="00000000" w:rsidDel="00000000">
        <w:rPr>
          <w:rtl w:val="0"/>
        </w:rPr>
        <w:t xml:space="preserve">Direktīva 95/50/EK), kas Latvijā pārņemta ar MK noteikumiem Nr. 411 un Ministru kabineta 2011.gada 5.jūlija noteikumiem Nr.541 „Bīstamo kravu aprites kontroles kārtība”. Direktīvas (ES) 2022/1999 13.pantā ir noteikts, ka atsauces uz Direktīvu 95/50/EK uzskatāmas par atsaucēm uz Direktīvu 2022/1999, un, veicot saturiskos grozījumus nacionālajos normatīvajos aktos, attiecīgi jāmaina arī minētās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informatīvā atsauce uz Direktīvu 95/50/EK nomainīta ar atsauci uz Direktīvu(ES) 2022/1999.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32022R0695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 maija Īstenošanas regula (ES) 2022/695, ar ko paredz noteikumus par to, kā Eiropas Parlamenta un Padomes Direktīvu 2006/22/EK piemērot attiecībā uz vienoto formulu transporta uzņēmumu riska novērtējuma aprēķināšanai. [Publicēta Eiropas Savienības Oficiālajā Vēstnesī L 129/33L, 03.05.2022].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Īstenošanas regulu attiecībā uz vienoto formulu transporta uzņēmumu riska novērtējuma aprēķināšanai.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 maija Īstenošanas regula (ES) 2022/695, ar ko paredz noteikumus par to, kā Eiropas Parlamenta un Padomes Direktīvu 2006/22/EK piemērot attiecībā uz vienoto formulu transporta uzņēmumu riska novērtējuma aprēķināšanai. [Publicēta Eiropas Savienības Oficiālajā Vēstnesī L 129/33L, 03.05.2022].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(ES) 2022/695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 (par grozījumiem noteikumu 5.punktā un noteikumu 3.pielikumā).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23-TA-1459</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23-TA-1459</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anotācija_(ex_ante)_23-TA-1459.docx</dc:title>
</cp:coreProperties>
</file>

<file path=docProps/custom.xml><?xml version="1.0" encoding="utf-8"?>
<Properties xmlns="http://schemas.openxmlformats.org/officeDocument/2006/custom-properties" xmlns:vt="http://schemas.openxmlformats.org/officeDocument/2006/docPropsVTypes"/>
</file>