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norēķinu galīgumu maksājumu un finanšu instrumentu norēķinu sistēmās""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norēķinu galīgumu maksājumu un finanšu instrumentu norēķinu sistēmās”” (turpmāk – Likumprojekts) izstrādāts Eiropas Parlamenta un Padomes 2024. gada 13. marta regulas (ES) Nr. 2024/886, ar ko groza regulas (ES) Nr. 260/2012 un (ES) Nr. 2021/1230 un direktīvas 98/26/EK un (ES) 2015/2366 attiecībā uz tūlītējiem kredīta pārvedumiem </w:t>
      </w:r>
      <w:r w:rsidR="00000000" w:rsidRPr="00000000" w:rsidDel="00000000">
        <w:rPr>
          <w:i w:val="1"/>
          <w:rtl w:val="0"/>
        </w:rPr>
        <w:t xml:space="preserve">euro</w:t>
      </w:r>
      <w:r w:rsidR="00000000" w:rsidRPr="00000000" w:rsidDel="00000000">
        <w:rPr>
          <w:rtl w:val="0"/>
        </w:rPr>
        <w:t xml:space="preserve"> (Dokuments attiecas uz EEZ) (turpmāk arī – Regula 2024/886) ieviešanai.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pārņemt Regulā 2024/886 iekļautās direktīvas 98/26/EK grozījumus, tādējādi veicināt maksājumu jomas, īpaši tūlītēju kredīta pārvedumu tālāku attīstību, dodot tiesības Latvijā un citās ES dalībvalstīs un EEZ valstīs licencētām maksājumu iestādēm un elektroniskās naudas iestādēm, kuras sniedz maksājumu pakalpojumus, kļūt par tādu maksājumu sistēmu dalībniecēm, kas atbilst šajā likumā noteiktajam terminam “maksājumu un finanšu instrumentu norēķinu sistēma”, tādējādi veicinot konkurenci un nodrošinot vienādus apstākļus maksājumu pakalpojumu 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Jāskata steidzamības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20. janvāra rīkojums Nr. 55 “Par Valdības rīcības plānu Deklarācijas par Evikas Siliņas vadītā Ministru kabineta iecerēto darbību īstenošanai” noteic, ka viens no ekonomiskās politikas mērķiem ir radīt augstākas vērtības produktus un pakalpojumus. Saskaņā ar Valdības rīcības plānā noteikto likumprojekts rada labvēlīgākus apstākļus nebanku maksājumu pakalpojumu sniedzēju tālākai attīstībai un veicina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Likumprojektam un likumprojektam “Grozījumi Maksājumu pakalpojumu un elektroniskās naudas likumā” jāstājas spēkā vienlaikus.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Parlamenta un Padomes 2007. gada 13. novembra direktīvu 2007/64/EK par maksājumu pakalpojumiem iekšējā tirgū, ar ko groza direktīvas 97/7/EK, 2002/65/EK, 2005/60/EK un 2006/48/EK un atceļ direktīvu 98/5/EK (Dokuments attiecas uz EEZ), kas tika tālāk pilnveidota un aizstāta ar Eiropas Parlamenta un Padomes 2015. gada 25. novembra direktīvu (ES) 2015/2366 par maksājumu pakalpojumiem iekšējā tirgū, ar ko groza direktīvas 2002/65/EK, 2009/110/EK un 2013/36/ES un regulu (ES) Nr. 1093/2010 un atceļ direktīvu 2007/64/EK (Dokuments attiecas uz EEZ), tika izveidota vienota Eiropas Savienības maksājumu pakalpojumu vide un maksājumu pakalpojumu sniegšana tika atļauta licencētiem un reģistrētiem nebanku maksājumu pakalpojumu sniedzējiem – maksājumu iestādēm un elektroniskās naudas iestādēm. Lai veiksmīgi piedāvātu un attīstītu maksājumu pakalpojumus, šo pakalpojumu sniedzējam nepieciešama iespēja kļūt par dalībnieku maksājumu sistēmās, tai skaitā sistēmiski nozīmīgās maksājumu sistēmās, kuras ir noteiktas par sistēmām saskaņā ar nacionālo regulējumu, kas ievieš Eiropas Parlamenta un Padomes 1998. gada 19. maija direktīvas 98/26/EK par norēķinu galīgumu maksājumu un vērtspapīru norēķinu sistēmās (turpmāk – Direktīva 98/26/EK)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martā Regulējuma kontroles padomes apstiprinātajā Eiropas Parlamenta un Padomes 2015. gada 25. novembra direktīvas (ES) 2015/2366 par maksājumu pakalpojumiem iekšējā tirgū, ar ko groza direktīvas 2002/65/EK, 2009/110/EK un 2013/36/ES un regulu (ES) Nr. 1093/2010 un atceļ direktīvu 2007/64/EK (Dokuments attiecas uz EEZ) (turpmāk – Direktīva 2015/2366) ietekmes novērtējumā konstatēts, ka, neraugoties uz Direktīvas 2015/2366 ieviešanas pozitīvajiem rezultātiem, maksājumu tirgū Eiropas Savienībā pastāv nevienlīdzīgi konkurences apstākļi starp kredītiestādēm un nebanku maksājumu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Direktīva 98/26/EK un Latvijas likums “Par norēķinu galīgumu maksājumu un finanšu instrumentu norēķinu sistēmās”, ar kuru ieviesta Direktīva 98/26/EK, nedeva iespēju maksājumu iestādēm un elektroniskās naudas iestādēm kļūt par tādu maksājumu sistēmu dalībniecēm, kas atbilst šajā likumā noteiktajam terminam “maksājumu un finanšu instrumentu norēķinu sistēma” (turpmāk – NGL maksājumu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maksājumu iestādēm un elektroniskās naudas iestādēm iespēju piedalīties maksājumu sistēmās, kuras ir noteiktas par sistēmām saskaņā ar nacionālo regulējumu, kas ievieš Direktīvas 98/26/EK prasības, 2024. gada 13. martā tika pieņemta Regula 2024/886, ar kuru tiek grozīta Direktīva 98/26/EK, tajā iekļaujot maksājumu iestādes un elektroniskās naudas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pārņemtu Regulā 2024/886 iekļautās Direktīvas 98/26/EK grozījumus, ir izstrādāts Likumprojekts.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norēķinu galīgumu maksājumu un finanšu instrumentu norēķinu sistēmās” 1. panta pirmās daļas 2. punktā ir iekļauta iestādes definīcija ar izsmeļošu to institūciju uzskaitījumu, kuras var piedalīties maksājumu un finanšu instrumentu norēķinu sistēmās un atbild par to finanšu saistību izpildi, kuras radušās saskaņā ar pārveduma rīkojumiem šajās sistēmās. Pašlaik tās ir: a) Latvijas Republikā vai citā dalībvalstī reģistrēta kredītiestāde, filiāle, ārvalsts kredītiestādes filiāle, centrālā banka, krājaizdevu sabiedrība vai pasta komersants, kuram atbilstoši normatīvajiem aktiem ir tiesības sniegt maksājumu pakalpojumus; b) dalībvalstī reģistrēta ieguldījumu brokeru sabiedrība, filiāle vai ārvalsts ieguldījumu brokeru sabiedrības filiāle; c) valsts pārvaldes institūcija vai valsts vai pašvaldības kapitālsabiedrība. Minētais uzskaitījums neietver maksājumu iestādes un elektroniskās naudas iestādes. Līdz ar to maksājumu iestādes un elektroniskās naudas iestādes nevar kļūt par NGL maksājumu sistēmu dalībniecēm. Tā kā šobrīd visas Latvijā darbojošās maksājumu sistēmas ir NGL maksājumu sistēmas, maksājumu iestādes un elektroniskās naudas iestādes nevar arī kļūt par dalībniecēm nevienā no maksājumu sistēmām Latvijā, līdzīgi kā citās Eiropas Savienības dalībvalstīs un Eiropas Ekonomikas Zonas valstīs (turpmāk – dalībvalsts) nevar kļūt par dalībniecēm maksājumu sistēmās, kuras par sistēmām noteiktas saskaņā ar nacionālo regulējumu, kas ievieš Direktīvas 98/26/EK prasības. Tas, ka nav iespējama piekļuve noteiktām būtiskām maksājumu sistēmām, var traucēt maksājumu iestādēm un elektroniskās naudas iestādēm rezultatīvi, konkurētspējīgi un neatkarīgi no kredītiestādēm sniegt maksājumu pakalpojumus saviem klientiem.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papildināta likuma “Par norēķinu galīgumu maksājumu un finanšu instrumentu norēķinu sistēmās” 1. panta pirmās daļas 2. punktā ietvertā termina “iestāde” definīcija, tajā iekļaujot dalībvalstī licencētas maksājumu iestādes un elektroniskās naudas iestādes. Likumprojektā paredzēts, ka maksājumu iestādes un elektroniskās naudas iestādes ir tiesīgas piedalīties tikai maksājumu sistēmās, bet ne finanšu instrumentu norēķinu sistēmās, jo, lai sniegtu maksājumu pakalpojumus, nepieciešama pieeja tieši maksājumu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tādām maksājumu iestādēm un elektroniskās naudas iestādēm, kuras piedalīsies maksājumu sistēmās norēķinu galīguma izpratnē, tiks attiecinātas arī pārējās likuma “Par norēķinu galīgumu maksājumu un finanšu instrumentu norēķinu sistēmās” normas, tai skaitā attiecībā uz ieskaita un norēķinu galīgumu un neatsaucamību maksājumu sistēmās, arī gadījumā, kad pret šādu maksājumu iestādi un elektroniskās naudas iestādi sākta maksātnespējas procedūra.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izmantotāji – fiziskās personas, kas izmanto maksājumu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vienlīdzīgākus maksājumu pakalpojumu sniedzēju konkurences apstākļus. Tādējādi tiks paplašinātas maksājumu pakalpojumu izvēles iespējas, kas savukārt var labvēlīgi ietekmēt pakalpojumu cenas.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kas sniedz maksājumu pakalpojumus un kas dalībvalstī ir saņēmušas licenci maksājumu pakalpojumu sniegšanai, tai skaitā SEPA kredīta pārvedumu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izmantotāji – juridiskās personas, kas izmanto maksājumu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rada iespēju dalībvalstī licencētai maksājumu iestādei vai elektroniskās naudas iestādei kļūt par NGL maksājumu sistēmu dalībnieci. Lai kļūtu par šādu sistēmu dalībnieci, iestādei būs jānodrošina atbilstība Maksājumu pakalpojumu un elektroniskās naudas likumā minētajām prasībām, kas var radīt nepieciešamību uzlabot iestādes procedūras un investēt jaunos tehniskos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vienlīdzīgākus maksājumu pakalpojumu sniedzēju konkurences apstākļus. Tādējādi tiks paplašinātas maksājumu pakalpojumu izvēles iespējas, kas savukārt var labvēlīgi ietekmēt pakalpojumu cenas.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Maksājumu pakalpojumu un elektroniskās naudas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2024/886 5. pants paredz, ka dalībvalstis ne vēlāk kā līdz 2025. gada 9. aprīlim pieņem, publicē un piemēro normatīvos un administratīvos aktus, kas nepieciešami, lai nodrošinātu atbilstību šīs regulas 3. un 4.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Regulas 2024/886 3. pantā iekļautās Direktīvas 2015/2366 grozījumus, vienlaikus ar Likumprojektu ir sagatavots likumprojekts “Grozījumi Maksājumu pakalpojumu un elektroniskās naudas likumā”, kurā ir noteiktas prasības, kādām iestādei jāatbilst, lai tā kļūtu par NGL maksājumu sistēmu dalībnieci.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Likumprojektam un likumprojektam “Grozījumi Maksājumu pakalpojumu un elektroniskās naudas likumā” jāstājas spēkā vienlaikus.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Nr. 2024/886 (2024. gada 13. marts), ar ko groza regulas (ES) Nr. 260/2012 un (ES) Nr. 2021/1230 un direktīvas 98/26/EK un (ES) 2015/2366 attiecībā uz tūlītējiem kredīta pārvedumiem euro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5.4. apakšpunkta 1. tabulu.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2024/886 iekļautās Direktīvas 98/26/EK transponēšanas termiņš ir 2025. gada 9. aprīlis.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Nr. 2024/886 (2024. gada 13. marts), ar ko groza regulas (ES) Nr. 260/2012 un (ES) Nr. 2021/1230 un direktīvas 98/26/EK un (ES) 2015/2366 attiecībā uz tūlītējiem kredīta pārvedumiem euro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2024/886 4. panta 1. punkts (Direktīvas 98/26/EK 2.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 panta pirmās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2024/886 4. panta 2. punkts (Direktīvas 98/26/EK 2. panta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 panta pirmās daļas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2024/886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 (Likuma Informatīvā atsauce uz Eiropas Savienības direktīvām)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Regulas 2024/886 5. panta otrajam teikumam (kad dalībvalstis pieņem minētos noteikumus, tajos ietver atsauci uz šo regulu vai arī šādu atsauci pievieno to oficiālajai publikācijai) tiek papildināta likuma “Par norēķinu galīgumu maksājumu un finanšu instrumentu norēķinu sistēmās”  Informatīvā atsauce uz Eiropas Savienības direktīvām ar regulu 2024/886, ar kuru tai skaitā tiek grozīta direktīva (ES) 2015/2366 un 98/26/EK.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Regulu 2024/886 veiktie grozījumi Direktīvā 98/26/EK paredz šādu izvēles iespēju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2024/886 4. panta 2. punkta trešā daļa (Direktīvas 98/26/EK 2. panta “f” apakšpunkta trešā daļa) noteic, ka šīs direktīvas nolūkos dalībvalsts netiešu dalībnieku var uzskatīt par dalībnieku, ja to pamato sistēmisks risks, tomēr tas neierobežo tā dalībnieka atbildību, ar kura starpniecību netiešais dalībnieks nodod pārveduma rīkojumus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saglabā savu izvēli neizmantot dalībvalstij piešķirtās tiesības ieviest Regulas 2024/886 4. panta 2. punkta trešo daļu. Līdz šim šī izvēle nav radījusi problēmas.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Norādītas tikai konkrēti uz Likumprojektu tieši attiecināmās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2024/886 1. panta 3. punkts (Regulas 260/2012 11. panta 1.a un 1.b punkts) tiek pārņemts ar likumprojektu “Grozījumi Maksājumu pakalpojumu un elektroniskās naudas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2024/886 3. pants (Direktīvas 2015/2366 10.panta 1.punkts, 35.pants un 35.a pants) tiek pārņemts ar likumprojektu “Grozījumi Maksājumu pakalpojumu un elektroniskās naudas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2024/886 4. panta 2. punkts (Direktīvas 98/26/EK 2. panta “f” apakšpunkts) jau ir ieviests nacionālajā normatīvajā regulējumā ar likuma “Par norēķinu galīgumu maksājumu un finanšu instrumentu norēķinu sistēmās” noteikumiem (Likuma 7. pants un 1. panta pirmās daļas 6. punkts).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par likumprojektu un tā anotāciju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24-TA-694</w:t>
    </w:r>
    <w:r>
      <w:br/>
    </w:r>
    <w:r w:rsidR="00000000" w:rsidRPr="00000000" w:rsidDel="00000000">
      <w:rPr>
        <w:rtl w:val="0"/>
      </w:rPr>
      <w:t xml:space="preserve">Izdrukāts 29.07.2026. 21.28 - 3.0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24-TA-694</w:t>
    </w:r>
    <w:r>
      <w:br/>
    </w:r>
    <w:r w:rsidR="00000000" w:rsidRPr="00000000" w:rsidDel="00000000">
      <w:rPr>
        <w:rtl w:val="0"/>
      </w:rPr>
      <w:t xml:space="preserve">Izdrukāts 29.07.2026. 21.28 - 3.0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anotācija_(ex_ante)_24-TA-694.docx</dc:title>
</cp:coreProperties>
</file>

<file path=docProps/custom.xml><?xml version="1.0" encoding="utf-8"?>
<Properties xmlns="http://schemas.openxmlformats.org/officeDocument/2006/custom-properties" xmlns:vt="http://schemas.openxmlformats.org/officeDocument/2006/docPropsVTypes"/>
</file>