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12. aprīļa noteikumos Nr. 226 "Noteikumi par akcelerācijas fondiem saimnieciskās darbības veicēju izveides, attīstības un konkurētspējas veicināšanai""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12. aprīļa noteikumos Nr. 226 "Noteikumi par akcelerācijas fondiem saimnieciskās darbības veicēju izveides, attīstības un konkurētspējas veicināšanai"" (turpmāk - MK noteikumu projekts) izstrādāts, lai pilnveidotu normas, atbilstoši Eiropas Komisijas 2014. gada 17. jūnija Regulas (ES) Nr. 651/2014, ar ko noteiktas atbalsta kategorijas atzīst par saderīgām ar iekšējo tirgu, piemērojot Līguma 107. un 108. pantu (turpmāk – Komisijas regula Nr. 651/2014) nosacījumiem, kā arī paredzētu  un noteiktu elastīgākus nosacījumus efektīvākai Eiropas Reģionālās attīstības fonda (turpmāk – ERAF) līdzekļu investēšanai.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izstrādāts, lai nodrošinātu lielāku finansējuma pieejamību saimnieciskās darbības veicējiem.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12. aprīļa noteikumos Nr. 226 "Noteikumi par akcelerācijas fondiem saimnieciskās darbības veicēju izveides, attīstības un konkurētspējas veicināšanai"" (turpmāk - MK noteikumi Nr. 226) ietvaros akciju sabiedrība "Attīstības finanšu institūcija Altum” (turpmāk - Altum) atbalsta piešķiršanu īsteno atbilstoši Komisijas regulas Nr. 651/2014 redakcijai.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226 ietvaros atbalstu sniedz akcelerācijas (t.i., veicināšanas, stimulēšanas, attīstīšanas, paātrināšanas) pakalpojumus un finansējumu uzņēmējdarbības projektiem, kas paredz tehnoloģiskos vai rūpnieciskos neizdošanās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 jūlijā stājās spēkā grozījumi Komisijas regulā Nr. 651/2014 (turpmāk – grozījumi Komisijas regulā Nr. 651/2014), kas paredz akcelerācijas fondu veiktajiem sēklasnaudas ieguldījumiem piemērot zemākus privātā līdzfinansējuma sliekšņus, kā arī ar izdevīgākiem nosacījumiem atbalstīt saimnieciskās darbības veicējus, kas ilgāk darbojas tirgū (robeža palielināta no 7 uz 10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Komisijas regulā Nr. 651/2014 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sešu mēnešu pārejas periodu, kurā atbalstu ir iespējams sniegt līdz grozījumu spēkā stāšanās brīdim esošos Komisijas regulas Nr. 651/2014 atbalsta nosacījumus – t.i., līdz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iespēju sniegt atbalstu ar labvēlīgākiem nosacījumiem saskaņā ar Komisijas regulas Nr. 651/2014 21. pantā noteikto uz riska finansējuma atbalstu,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piemērot zemākus privātā līdzfinansējuma sliekšņus,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izdevīgākiem nosacījumiem atbalstīt saimnieciskās darbības veicējus, kas ilgāk darbojas tirgū (robeža palielināta no 7 uz 10 gadiem).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noteikumi Nr. 226 šobrīd neiekļauj visas riska finansējuma atbalsta sniegšanas iespējas, ko pieļauj Komisijas regulas Nr. 651/2014 21. pants, t.i. sniegt atbalstu kā de minimis atbalstu atbilstoši Eiropas Komisijas 2013. gada 18. decembra Regulai (ES) Nr. 1407/2013 par Līguma par Eiropas Savienības darbību 107. un 108. panta piemērošanu de minimis atbalstam (turpmāk – Komisijas regula Nr. 1407/2013).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ERAF attiecināmības periods noslēdzas 2023. gada 31. decembrī un esošā MK Noteikumi Nr. 226 nosaka konkrētu finansējuma apjomu, kas ir izmantojams tikai MK Noteikumos Nr. 226 noteiktā atbalsta sniegšanai, tādējādi neļaujot elastīgi piemērot finansējumu starp darbības programmas “Izaugsme un nodarbinātība” 3.1.1. specifiskā atbalsta mērķa "Sekmēt mazo un vidējo komersantu izveidi un attīstību, īpaši apstrādes rūpniecībā un RIS3 prioritārajās nozarēs" un 3.1.2. specifiskā atbalsta mērķa "Palielināt straujas izaugsmes komersantu skaitu"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precizēt MK noteikumus Nr. 226, nosakot labvēlīgākas normas atbalsta sniegšanai saimnieciskās darbības veicējiem to biznesa projektu īstenošanai, t.sk. paredzot labvēlīgākus nosacījumus attiecībā uz zemāka privātā līdzfinansējuma sliekšņa piemērošanu sākot ar 01.07.2023., proti ar Komisijas regulas Nr. 651/2014 grozījumu spēkā stāšanos.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papildināt MK Noteikumus Nr. 226 pieejamā finansējuma pasākuma</w:t>
      </w:r>
      <w:r w:rsidR="00000000" w:rsidRPr="00000000" w:rsidDel="00000000">
        <w:rPr>
          <w:rtl w:val="0"/>
        </w:rPr>
        <w:t xml:space="preserve"> īstenošanai sadalījumu, lai noteiktu lielāku elastības finansējumu starp darbības programmas “Izaugsme un nodarbinātība” 3.1.1. specifiskā atbalsta mērķa "Sekmēt mazo un vidējo komersantu izveidi un attīstību, īpaši apstrādes rūpniecībā un RIS3 prioritārajās nozarēs" un 3.1.2. specifiskā atbalsta mērķa "Palielināt straujas izaugsmes komersantu skaitu" pasākumiem, ļautu efektīvāk izmantot ERAF finansējumu atbalsta sniegšanai, vienlaikus nosakot, ka saimnieciskās darbības veicēju ieguldījumiem un izmaksām, kas veikti pēc 2023. gada 31. decembra, tiek izmantots atmaksātais publiskais finansējums, izņemot gadījumos, ja ir izveidots darījuma konts tādu līdzekļu turēšanai, kas ir izmaksājami pēc atbilstības perioda tādiem mērķiem atbilstoši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(Eiropas Savienības Oficiālais Vēstnesis, 2013. gada 20. decembris, Nr. L 347).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precizēt MK Noteikumus Nr. 226 ar nosacījumiem iespējkapitāla ieguldījumiem atbilstoši Komisijas regulas Nr. 651/2014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mainītas atsauces uz precizētajiem Komisijas regulas Nr. 651/2014 punktiem MK noteikumu Nr. 226 14., 16., 34., 39., 41., 46., 49. 50. punktiem un 36.2. apakšpunktam.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papildināt MK Noteikumus Nr. 226 ar šādiem nosacījumiem par atbalsta sniegšanas iespējām ar de minimis atbalsta saņemšanas nosacījumiem saskaņā ar Komisijas regulu Nr. 1407/2013: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vienam vienotam uzņēmumam piešķir, nepārsniedzot Komisijas regulas Nr. 1407/2013 3. panta 2. punktā noteikto de minimis atbalsta maksimālo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 piemērot zemākus privātā līdzfinansējuma sliekšņus;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iespējamību neievērot noteiktus Komisijas regulas Nr. 651/2014 21. panta 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Tehniskie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226 52.</w:t>
      </w:r>
      <w:r w:rsidR="00000000" w:rsidRPr="00000000" w:rsidDel="00000000">
        <w:rPr>
          <w:vertAlign w:val="superscript"/>
          <w:rtl w:val="0"/>
        </w:rPr>
        <w:t xml:space="preserve">1</w:t>
      </w:r>
      <w:r w:rsidR="00000000" w:rsidRPr="00000000" w:rsidDel="00000000">
        <w:rPr>
          <w:rtl w:val="0"/>
        </w:rPr>
        <w:t xml:space="preserve"> punktā tiek papildināts, ka saimnieciskās darbības veicējs pie projekta iesniegšanas norāda atbalsta intensitāti. Šis papildinājums tiek veikts, lai varētu izvērtēt atbalsta kumulācijas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Komisijas regulā Nr. 651/2014 nav piemērojami ar atpakaļejošu spēku, jo Eiropas Komisija nav tiem piešķīrusi retroaktīvu spēku, tie ir piemērojami vienīgi attiecībā uz tiem iespējkapitāla ieguldījumiem, kas veikti pēc grozījumu Komisijas regulā Nr. 651/2014 stāšanās spēkā un MK noteikumu projekta apstiprināšanas. Līdz ar to, grozījumiem Komisijas regulā Nr. 651/2014 nav ietekmes uz līdz šim izsniegto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Altum apliecina, ka noteikumu projektā ietvertie grozījumi neietekmē apstiprināto programmas rādītāju novērtējumu, jo kopējais finansējums programmai netiek mainīts.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 
akciju sabiedrība "Attīstības finanšu institūcija Altum”,
Ekonomikas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mērķa grupa ir saimnieciskās darbības veicēji.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pasākuma ietvaros līdz 2023. gada 30. septembrim ir noslēgti 157 līgumi un izmaksāts ERAF finansējums 12,5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2022. gada sākuma līdz 2023. gada 30. septembrim ir noslēgti 28 jauni līgumi un izmaksāts ERAF finansējums 1 941  tūkst. euro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veicinās finansējumu ieguldījumu pieejamību saimnieciskās darbības veicējiem, attiecīgi MK Noteikumu projekts radīs pozitīvu ietekmi uz mazajiem, vidējiem un lielajiem komersantiem, nodrošinot iespēju plašākam komersantu lokam saņemt atbalstu, lai veicinātu uzņēmējdarbības konkurētspēju atbalstāmajās nozarēs.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veicinās riska finansējumu ieguldījumu pieejamību saimnieciskās darbības veicējiem, t.i. saimnieciskās darbības veicējiem būs vieglāk saņemt riska finansējuma atbalstu.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pasākuma ietvaros līdz 2023. gada 30. septembrim ir noslēgti 157 līgumi un izmaksāts ERAF finansējums 12,5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2022. gada sākuma līdz 2023. gada 30. septembrim ir noslēgti 28 jauni līgumi un izmaksāts ERAF finansējums 1 941  tūkst.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veicinās riska finansējumu ieguldījumu pieejamību saimnieciskās darbības veicējiem, t.i. saimnieciskās darbības veicējiem būs vieglāk saņemt riska finansējuma atbalstu.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Saimnieciskās darbības veicēji, 
akciju sabiedrība "Attīstības finanšu institūcija Altum”,
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2014.gada 17.jūnija Regula (ES) Nr. 651/2014, ar ko noteiktas atbalsta kategorijas atzīst par saderīgām ar iekšējo tirgu, piemērojot Līguma 107. un 108. pantu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2013.gada 18.decembra Regula (ES) Nr. 1407/2013 par Līguma par Eiropas Savienības darbību 107. un 108. panta piemērošanu de minimis atbalstam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Nr. 1303/2013 ( 2013. gada 17. decembris ),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izmantojot  Eiropas Komisijas elektroniskās paziņošanas sistēmu, 20 darbdienu laikā no atbalsta pasākuma stāšanās spēkā nosūtīs kopsavilkuma informāciju Regulas Nr. 651/2014 II pielikumā noteiktajā standartizētajā formātā par atbalsta pasākumu.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2014.gada 17.jūnija Regula (ES) Nr. 651/2014, ar ko noteiktas atbalsta kategorijas atzīst par saderīgām ar iekšējo tirgu, piemērojot Līguma 107. un 108. pantu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21.panta 10., 13., 14., 15., 16. un 17. 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21.panta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21.panta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36.1.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21.panta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36.2.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76.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36.2.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2.panta 74.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2.panta 66.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21.panta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21.panta 12. punkts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2.panta 72.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42., punkts un 42.</w:t>
            </w:r>
            <w:r w:rsidR="00000000" w:rsidRPr="00000000" w:rsidDel="00000000">
              <w:rPr>
                <w:sz w:val="24"/>
                <w:vertAlign w:val="superscript"/>
                <w:rtl w:val="0"/>
              </w:rPr>
              <w:t xml:space="preserve">1</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21.panta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42. punkts un 42.</w:t>
            </w:r>
            <w:r w:rsidR="00000000" w:rsidRPr="00000000" w:rsidDel="00000000">
              <w:rPr>
                <w:sz w:val="24"/>
                <w:vertAlign w:val="superscript"/>
                <w:rtl w:val="0"/>
              </w:rPr>
              <w:t xml:space="preserve">1</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21.panta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42.</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21.panta 18.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42.</w:t>
            </w:r>
            <w:r w:rsidR="00000000" w:rsidRPr="00000000" w:rsidDel="00000000">
              <w:rPr>
                <w:sz w:val="24"/>
                <w:vertAlign w:val="superscript"/>
                <w:rtl w:val="0"/>
              </w:rPr>
              <w:t xml:space="preserve">1</w:t>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18.punkta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42.</w:t>
            </w:r>
            <w:r w:rsidR="00000000" w:rsidRPr="00000000" w:rsidDel="00000000">
              <w:rPr>
                <w:sz w:val="24"/>
                <w:vertAlign w:val="superscript"/>
                <w:rtl w:val="0"/>
              </w:rPr>
              <w:t xml:space="preserve">1</w:t>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18.punkta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42.</w:t>
            </w:r>
            <w:r w:rsidR="00000000" w:rsidRPr="00000000" w:rsidDel="00000000">
              <w:rPr>
                <w:sz w:val="24"/>
                <w:vertAlign w:val="superscript"/>
                <w:rtl w:val="0"/>
              </w:rPr>
              <w:t xml:space="preserve">1</w:t>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46., 49. 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21.pants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21.pants 4. un 8. 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52.</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2013.gada 18.decembra Regula (ES) Nr. 1407/2013 par Līguma par Eiropas Savienības darbību 107. un 108. panta piemērošanu de minimis atbalstam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21.8., 42.</w:t>
            </w:r>
            <w:r w:rsidR="00000000" w:rsidRPr="00000000" w:rsidDel="00000000">
              <w:rPr>
                <w:sz w:val="24"/>
                <w:vertAlign w:val="superscript"/>
                <w:rtl w:val="0"/>
              </w:rPr>
              <w:t xml:space="preserve">1</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1407/2013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42.</w:t>
            </w:r>
            <w:r w:rsidR="00000000" w:rsidRPr="00000000" w:rsidDel="00000000">
              <w:rPr>
                <w:sz w:val="24"/>
                <w:vertAlign w:val="superscript"/>
                <w:rtl w:val="0"/>
              </w:rPr>
              <w:t xml:space="preserve">1</w:t>
            </w:r>
            <w:r w:rsidR="00000000" w:rsidRPr="00000000" w:rsidDel="00000000">
              <w:rPr>
                <w:sz w:val="24"/>
                <w:rtl w:val="0"/>
              </w:rPr>
              <w:t xml:space="preserve">1 apakšpunkts un 52.</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42.</w:t>
            </w:r>
            <w:r w:rsidR="00000000" w:rsidRPr="00000000" w:rsidDel="00000000">
              <w:rPr>
                <w:sz w:val="24"/>
                <w:vertAlign w:val="superscript"/>
                <w:rtl w:val="0"/>
              </w:rPr>
              <w:t xml:space="preserve">1</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42.</w:t>
            </w:r>
            <w:r w:rsidR="00000000" w:rsidRPr="00000000" w:rsidDel="00000000">
              <w:rPr>
                <w:sz w:val="24"/>
                <w:vertAlign w:val="superscript"/>
                <w:rtl w:val="0"/>
              </w:rPr>
              <w:t xml:space="preserve">1</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42.</w:t>
            </w:r>
            <w:r w:rsidR="00000000" w:rsidRPr="00000000" w:rsidDel="00000000">
              <w:rPr>
                <w:sz w:val="24"/>
                <w:vertAlign w:val="superscript"/>
                <w:rtl w:val="0"/>
              </w:rPr>
              <w:t xml:space="preserve">1</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Nr. 1303/2013 ( 2013. gada 17. decembris ),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1303/2013 2. panta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20.</w:t>
            </w:r>
            <w:r w:rsidR="00000000" w:rsidRPr="00000000" w:rsidDel="00000000">
              <w:rPr>
                <w:sz w:val="24"/>
                <w:vertAlign w:val="superscript"/>
                <w:rtl w:val="0"/>
              </w:rPr>
              <w:t xml:space="preserve">3 </w:t>
            </w:r>
            <w:r w:rsidR="00000000" w:rsidRPr="00000000" w:rsidDel="00000000">
              <w:rPr>
                <w:sz w:val="24"/>
                <w:rtl w:val="0"/>
              </w:rPr>
              <w:t xml:space="preserve">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1303/2013 42.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20.</w:t>
            </w:r>
            <w:r w:rsidR="00000000" w:rsidRPr="00000000" w:rsidDel="00000000">
              <w:rPr>
                <w:sz w:val="24"/>
                <w:vertAlign w:val="superscript"/>
                <w:rtl w:val="0"/>
              </w:rPr>
              <w:t xml:space="preserve">3</w:t>
            </w:r>
            <w:r w:rsidR="00000000" w:rsidRPr="00000000" w:rsidDel="00000000">
              <w:rPr>
                <w:sz w:val="24"/>
                <w:rtl w:val="0"/>
              </w:rPr>
              <w:t xml:space="preserve">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izsludināts sabiedrības apspriedē no 2023.gada 16.novembra līdz 21.novembrim. Noteikumu projekts izstrādāts, lai noteiktu labvēlīgākas normas atbalsta sniegšanai saimnieciskās darbības veicējiem to biznesa projektu īstenošanai. Laika periodā nav saņemti komentāri par noteikumu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23-TA-2880</w:t>
    </w:r>
    <w:r>
      <w:br/>
    </w:r>
    <w:r w:rsidR="00000000" w:rsidRPr="00000000" w:rsidDel="00000000">
      <w:rPr>
        <w:rtl w:val="0"/>
      </w:rPr>
      <w:t xml:space="preserve">Izdrukāts 29.07.2026. 23.52 - 3.0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23-TA-2880</w:t>
    </w:r>
    <w:r>
      <w:br/>
    </w:r>
    <w:r w:rsidR="00000000" w:rsidRPr="00000000" w:rsidDel="00000000">
      <w:rPr>
        <w:rtl w:val="0"/>
      </w:rPr>
      <w:t xml:space="preserve">Izdrukāts 29.07.2026. 23.52 - 3.0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anotācija_(ex_ante)_23-TA-2880.docx</dc:title>
</cp:coreProperties>
</file>

<file path=docProps/custom.xml><?xml version="1.0" encoding="utf-8"?>
<Properties xmlns="http://schemas.openxmlformats.org/officeDocument/2006/custom-properties" xmlns:vt="http://schemas.openxmlformats.org/officeDocument/2006/docPropsVTypes"/>
</file>