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kohēzijas politikas programmas 2021.–2027.gadam 1.2.1. specifiskā atbalsta mērķa “Pētniecības un inovāciju kapacitātes stiprināšana un progresīvu tehnoloģiju ieviešana uzņēmumiem” 1.2.1.4. pasākuma “Atbalsts tehnoloģiju pārneses sistēmas pilnveidošanai” īstenošanas noteikumi” (turpmāk – noteikumu projekts) ir izstrādāts saskaņā ar Eiropas Savienības fondu 2021.-2027.gada plānošanas perioda vadības likuma 19. panta 6. un 13. punktu, Jaunuzņēmumu darbības atbalsta likuma 7. panta trešā daļu, Eiropas Savienības kohēzijas politikas programmu 2021. - 2027.gadam un  Nacionālās industriālās politikas pamatnostādnēm 2021. - 2027.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nodrošināt finansējuma pieejamību komersantiem jaunu produktu/pakalpojumu, pētniecības projektu izstrādei un komercializācijai, lai veicinātu inovatīvo komersantu īpatsvaru ekonomikā paaugstināšanu, veidojot saikni starp sīkajiem, mazajiem, vidējiem un lielajiem komersantiem un publiskajām pētniecības institūcijām, kas sekmētu zināšanu tiešu pārnesi un kļūtu par katalizatoru ilgtermiņa, padziļinātākas sadarbības veidošanai starp abām pusēm, tādējādi sniedzot ieguldījumu Latvijas Viedās specializācijas stratēģijas mērķu sasniegšanā.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pamatnostādnēs 2021.-2027. gadam (turpmāk – NIP) noteiktie mērķi un Latvijas Viedās specializācijas stratēģija (turpmāk – RIS3) noteiktie mērķi paredz sekmēt inovācijas un privāto ieguldījumu pieaugumu pētniecībā un attīstībā.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NIP, jau šobrīd tiek īstenotas atbalsta aktivitātes. Tehnoloģiju pārneses programmas ietvaros Latvijas Investīciju un attīstības aģentūra (turpmāk - LIAA) kā finansējuma saņēmējs līdz 2023.gada I ceturksnim kopumā ir apstiprinājusi 400 inovāciju vaučeru projektus jaunu produktu vai tehnoloģiju izstrādei un attīstībai. Vienlaikus programmas ietvaros nodrošināts atbalsts arī pētniecības ideju komercializācijai, kopumā apstiprinot 101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inovāciju un tehnoloģiju attīstība, produktivitātes paaugstināšana panākama ar mērķtiecīgu resursu ieguldīšanu augstākas pievienotās vērtības radīšanai un pārdošanai globālajā tirgū. Atbalstot vietējos uzņēmumus un veicinot to internacionalizācijas kapacitātes attīstību, stiprinot zināšanu pārneses procesu un ieviešot inovatīvas un jaunas tehnoloģijas, pilnveidojot nodarbināto kompetences – tā rezultātā tiks veidotas uz zināšanām un inovācijām balstītas Latvijas konkurētspējas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priekšnoteikums pārejai uz inovatīvo ekonomiku ir Latvijas inovāciju sistēmas stiprināšana, novēršot tās nepilnības un veicinot savstarpēju mijiedarbību starp visiem inovāciju sistēmas subjektiem – uzņēmējdarbību, zinātni un izglītību, kā arī finanšu un likumdošanas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uz ilgtermiņu un uz zināšanām un inovācijām vērstas Latvijas konkurētspējas vērstas investīcijas,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(turpmāk - 1.2.1.4. pasākums), kas ietilpst Eiropas Savienības kohēzijas politikas programmas 2021.–2027. gadam 1. politikas mērķī “Konkurētspējīgāka un viedāka Eiropa, veicinot inovatīvas un viedas ekonomiskās pārmaiņas un reģionālo IKT savienojamību”. 1. politikas mērķa galvenajām komponentēm – digitālajai un inovācijas komponentēm – ir izšķiroša nozīme ilgtspējīgas un iekļaujošas sabiedrības pārveidē uz sociālāku un konkurētspējīgāku ekonomiku. Noteikumu projekts turpinās sniegt ieguldījumu NIP un RIS3 noteikto mērķu sasniegšanā, jo Noteikumu projektā paredzētās aktivitātes vērstas, lai sekmētu jaunu produktu izstrādi un privāto ieguldījumu pieaugumu pētniecībā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Latvijas P&amp;I sistēma laika periodā no 2014.–2020. gadam ir būtiski palielinājusi efektivitāti un produktivitāti, Latvijas  pētniecības un attīstības (turpmāk – P&amp;A) izaugsmes temps joprojām ir nepietiekams straujai viedai izaugsmei, un tas tiešā veidā ir saistīts ar zemajiem pētniecības, attīstības un inovāciju (turpmāk – P&amp;A&amp;I)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kopējie izdevumi pētniecībā un attīstībā 2021. gadā bija 232 milj. eiro, tātad 0,71 % no IKP, un ir skaidrs, ka bez papildus stimuliem, saglabājoties šādam publiskā un privātā (uzņēmumu) sektora ieguldījumu īpatsvaram P&amp;A, straujš kāpums tuvākajos gados nav sagaidāms. Turklāt, jāatzīmē, ka Latvijas uzņēmējdarbību raksturo zemas pievienotās vērtības produktu liels īpatsvars, augsta resursu intensitāte un  sadarbības un integrācijas trūkumu globālajās vērtību ķēdēs. Arī inovatīvo mazo un vidējo uzņēmumu īpatsvars Latvijā ir viens no zemākajiem ES – 32,9 % (2016.–2018.g.), salīdzinot ar vidēji 49,1 % ES. Latvijas uzņēmumiem ir nepietiekami attīstīta nozaru un starpnozaru savstarpējā sadarbība, īpaši sadarbība ar pētniecības, eksperimentālās izstrādes, pilotēšanas un demonstrācijas institūcijām un izglītības iestādēm, piesaistot studējošos un mācībspēkus inovāciju attīstīšanai Latvijā un ārvalstīs, tāpat novērojama vāja pētījumu rezultātu komercializācijas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Ierobežotais eksportspējīgo uzņēmumu skaits, kā arī lielais mikro un mazo uzņēmumu īpatsvars ekonomikā nestimulē virzību uz zināšanās un inovācijā balstītu produktu un pakalpojumu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„Eiropas Inovāciju rezultātu pārskatā” (European Innovation Scoreboard) atzinīgi novērtēti Latvijas sasniegumi vairākos rādītājos. Kopš iepriekšējā pārskata gada publiskā un privātā sektora koppublikāciju skaits palielinājies vidēji par gandrīz 40 %, zinātnes un tehnoloģiju cilvēkresursu mobilitāte starp darba vietām pieaugusi par gandrīz 33 %.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kas paši izstrādājuši un ieviesuši tirgū jaunu produktu, Latvijas tautsaimniecības struktūrā ir par 7 procentpunktiem vairāk nekā vidēji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Inovāciju rezultātu pārskatā” Latvija ierindota 25. vietā ES dalībvalstu konkurencē, t. i., inovāciju iesācēju (emerging innovators) grupā. Latvijas zemākie rādītāji ir šādās jomās: valsts atbalsts pētniecībai un attīstībai uzņēmējdarbībā (5,2 % no ES vidējā rādītāja), uzņēmumu investīcijas pētniecībā un attīstībā (11,5 % no ES vidējā rādītāja).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Globālajā inovāciju indeksā” (Global Innovation Index) 2022. gadā Latvija ierindojas 41. vietā 132 valstu konkurencē, bet 2021. gadā bija 38. vietā. Lai mērītu inovatīvu un starptautiski konkurētspējīgu produktu izlaides pieaugumu, jāpievērš uzmanība Latvijas novērtējumam zināšanu un tehnoloģiju izlaides apakškategorijā – tajā konstatējams, ka 2022. gadā Latvija ieņem 44. vietu 132 valstu vidū. Vienlaikus Latvijai ir raksturīgs arī zems pētniecības un attīstības rezultātu komercializācijas līmenis un nepietiekama zinātnes un privātā sektora sadarbība.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adresētu galvenos konkurētspējas izaicinājumus – zemi produktivitātes rādītāji, zemas pievienotās vērtības produkti, zems inovatīvo uzņēmumu īpatsvars, sadarbības un integrācijas trūkums globālajās vērtības ķēdēs – konkurētspējas priekšrocības būtu balstāmas uz inovāciju, tehnoloģiskajiem faktoriem un uzlabojumiem ražošanas produktivitātē. Turklāt, Latvijas ekonomikas attīstība un izaugsme lielā mērā ir saistīta ar iespējām iekļūt eksporta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fokusējot valsts intervenci tieši RIS3 prioritārajās jomās un pēc iespējas novēršot pastāvošās tirgus nepilnības finansējuma pieejamībā, kas bremzē inovāciju attīstību un jaunu uzņēmumu izveidi, 1.2.1.4. pasākuma  ietvaros plānots stiprināt un pilnveidot zināšanu pārneses sistēmu, t.sk. reģionālā līmenī, kuras galvenais mērķis ir pētniecības un uzņēmējdarbības sektora ciešāka sadarbības veidošana un uzturēšana, lai sekmētu pētniecības ideju komercializāciju (atbalsts grantu veidā, nefinansiāls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Vaučera izsniegšanas shēma būs atbilstoši vēsturiskajai praksei. Komersantam tiks izsniegts vaučers, kuru tas nodos izvēlētajam pakalpojuma sniedzējam. Pakalpojuma sniedzējs atbilstoši vaučera aprites kārtībai pēc darbu pabeigšanas pieprasīs apmaksu LIAA iesniedzot nepieciešamos dokumentus. Pēc dokumentācijas pārbaudes LIAA veiks komersanta atbalsta/vaučera daļas apmaksu pakalpojuma sniedzējam. LIAA, lai nodrošinātu izmaksu demarkāciju ar citām programmām, kurās arī plānota LIAA administratīvo izmaksu segšana, darbiniekus nodarbināsi amata apraksta kontekstā un slodzes noteiktas pēc darba laika uzskaites, iekšējiem rīkojumiem un normatīviem.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zemo inovāciju līmeni visā Latvijā, 1.2.1.4. pasākums neparedz reģionālo pieeju, bet ir vērsts uz pētniecisko projektu attīstīšanu to ideju autoriem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pasākuma īstenošana ir saskaņa ar Valdības rīcības plāna 22. uzdevumu, kas paredz īstenot ekonomikas politiku, kas radīs augstākas vērtības produktus un pakalpojumus, atbalstu primāri novirzīsim eksportējošiem uzņēmumiem un jaunuzņēmumiem, kā arī  23. uzdevumu, kas paredz veidot inovācijas ekosistēmu, cieši sadarbojoties publiskajam, privātajam, akadēmiskajam un nevalstiskajam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plānots, ka kopumā tiks atbalstīti vismaz 190 komersanti, kas attīsta savus biznesa vai komercializācijas projektus. Balstoties uz atbildīgās iestādes aplēsēm, tiek plānots, ka pasākumā un LIAA atbalstītie komersanti izstrādās vai būtiski uzlabos 100 jaunus produktus ar augstu pievienotu vērtību. Pasākumā plānots atbalstīt vismaz 5 inovatīvā iepirkuma risinājumus.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paredz, ka 1.2.1.4.pasākums: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 industrijas ieguldījumu P&amp;A&amp;I;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 intelektuāli aizsargāto produktu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 eksportspējīgu produktu skaitu ar augstu pievienotu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veicinās inovatīvo komersantu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paaugstinās inovāciju 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stimulēs zemo iniciatīvu saimnieciskās darbības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stimulēs starpnozaru sadarbību nacionālā un starptautiskā līmenī, kas vērsta uz radošuma un inovāciju komercializāciju, attīstot jaunu pakalpojumu un produktu izstrādi un palielinot to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Ekonomikas ministrija sadarbībā ar Izglītības un zinātnes ministriju, Finanšu ministriju un Tieslietu ministriju šobrīd strādā pie grozījumiem Zinātniskās darbības likumā, attiecīgi, kad tie stāsies spēkā, tiks nodrošināts atbalsts pētniecības organizācijām komercializācijas nodrošināšanai. Kad likumprojekts tiks apstiprināts, Ekonomikas ministrija nodrošinās kopējā finansējuma sadalījumu pasākuma ietvaros – 30% pētniecības organizācijām un 70% komersantiem, atskaitot šo noteikumu 22. punktā Finansējuma saņēmējam paredzēto finansējumu. Attiecīgi finansējums, kas paredzēts pētniecības organizācijām, netiks izlietots citam mērķim.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Atbalsts un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26 548 890 euro (t.sk. elastības finansējuma apjoms 4 187 431 euro), tai skaitā Eiropas Reģionālā attīstības fonda (turpmāk – ERAF) finansējums 22 566 556 euro t.sk. (t.sk. elastības finansējuma apjoms 3 559 317 euro) un valsts budžeta finansējums – 3 982 334 euro (t.sk. elastības finansējuma apjoms 628 114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iesniegumā pasākuma īstenošanai kopējo pasākuma pieejamo finansējumu plāno ne vairāk kā 22 361 459 euro apmērā, tai skaitā ERAF finansējumu – 19 007 239 euro apmērā un valsts budžeta finansējumu – 3 354 220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noteiktas ERAF finansējuma sadalījums pa intervences kodiem, atbilstoši Noteikumu projektā paredzētajām atbalstāmajām darbībām,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intervences kods (Mikrouzņēmumu pētniecības un inovācijas darbības, tostarp tīklošana (rūpnieciskā pētniecība, eksperimentālā izstrāde, priekšizpēte))  -  2 286 500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intervences kods (Mazo(sīko), vidējo uzņēmumu (turpmāk - MVU) pētniecības un inovācijas darbības, tostarp tīklošana) 11 432 500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intervences kods (lielo uzņēmumu pētniecības un inovācijas darbības, tostarp tīklošana) 4 573 000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intervences kods (pētniecības un inovācijas pasākumi valsts pētniecības centros, augstākās izglītības iestādēs un kompetences centros, tostarp tīklu veidošana (rūpnieciskie pētījumi, eksperimentālā izstrāde, priekšizpēte) - 4 573 000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kods ir Nr. 1 - grants - 22 865 000 euro (ERAF).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veids finansējuma saņemšanai ir ierobežota projektu iesniegumu atlase, kurā finansējuma saņēmējs ir valsts tiešās pārvaldes iestāde, kuras darbības mērķis ir sekmēt Latvijas uzņēmumu konkurētspēju un eksportspēju starptautiskajos tirgos, veicināt biznesa ideju attīstību un uzņēmumu rašanos, zināšanu ietilpīgu preču un pakalpojumu attīstību, komercializāciju un eksportu, veicināt ārvalstu investīciju apjoma pieaugumu, īstenot tūrisma attīstības valsts politiku un valsts politiku inovāciju jomā un veicināt Latvijas pozitīvu starptautisko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sagatavos projekta iesniegumu atbilstoši projektu iesniegumu atlases nolikumam un iesniegs to sadarbības iestādē, izmantojot Kohēzijas politikas fondu vadības informācijas sistēmu, projekta iesniegumam pievienojot projekta īstenošanas stratēģiju. Stratēģijā ietver informāciju par projekta īstenošanas plānu, mērķiem, sasniedzamajiem rezultātiem, projekta vadības un īstenošanas personālu, to darba uzdevumiem un funkcijām, lai nodrošinātu pasākuma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veic izmaksu un ieguvumu analīzi atbilstoši sadarbības iestādes metodiskajiem materiāliem un pievieno kā stratēģijas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sistemātisku informācijas nodošanu un rīcības plānu saskaņošanu, Finansējuma saņēmējs rīkos projekta stratēģijas aktualizēšanas sanāksmi reizi pusgadā ar visām attiecīgajām nozaru ministrijām, industriju pārstāvjiem un pētniecības organizāciju dalībniekiem. Šīs sanāksmes galvenais mērķis ir nodrošināt informētus dalībniekus attiecībā uz projekta jaunumiem, sasniegtiem rādītājiem un kopējo 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Gala labuma guvēji, atbalsta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1.2.1.4.pasākuma mērķa grupa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Uzņēmumu reģistra komercreģistrā reģistrēts komersants, kas atbilst sīkā (mikro), mazā un vidējā komersanta (turpmāk - MVU) statusam saskaņā ar Eiropas Komisijas 2014. gada 17. jūnija Regulas (ES) Nr. 651/2014, ar ko noteiktas atbalsta kategorijas atzīst par saderīgām ar iekšējo tirgu, piemērojot Līguma 107. un 108. pantu (turpmāk – Regula Nr. 651/2014) 2. panta 2. punktu vai vidējas kapitalizācijas, lielā komersanta statusam saskaņā ar Regulas Nr. 651/2014 2. panta 24. punktā noteikto definīciju, kā arī mazās kapitalizācijas sabiedrības saskaņā ar Eiropas Parlamenta un Padomes 2015. gada 25. jūnija Regulas (ES) 2015/1017 par Eiropas Stratēģisko investīciju fondu, Eiropas Investīciju konsultāciju centru un Eiropas Investīciju projektu portālu, ar ko groza Regulas (ES) Nr. 1291/2013 un (ES) Nr. 1316/2013 – Eiropas Stratēģisko investīciju fonds, 2.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kapitalizācijas sabiedrības un lielie komersanti 1.2.1.4. pasākuma ietvaros var saņemt atbalstu tikai pie noteiktiem nosacījumiem (Eiropas Parlaments un padomes Regulas 2021/1058(2021. gada 24. jūnijs) par Eiropas Reģionālās attīstības fondu un Kohēzijas fondu 5.panta 2.punta a) apakšpunkts), ja tie aktivitātēs ietver sadarbību ar mazajiem/vidējiem komersantiem pētniecības un inovācijas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pasākuma ietvaros ar vārdu “komersanti” tiek saprasts “uzņēmumi” atbilstoši Eiropas Savienības kohēzijas politikas programmu 2021.–2027.gadam noteikto rādītāju definīcijām un rādītāju aprakstiem.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pasākuma ietvaros sasniedzami šādi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atbalstīto komersantu skaits (tai skaitā: mikrouzņēmumi, mazi, vidēji un lieli uzņēmumi) –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ar grantiem atbalstīto komersantu skaits –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atbalstīto komersantu skaits (tai skaitā: mikrouzņēmumi, mazi, vidēji un lieli uzņēmumi) – 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ar grantiem atbalstīto komersantu skaits – 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komersantu skaits, kas sadarbojas ar pētniecības organizācijām – 38.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Noteiktos rādītājus paredzēts sasniegt, balstoties uz 1.2.1.4. pasākuma plānoto kopējo attiecināmo finansējumu. Gadījumā, ja elastības finansējums vai tā daļa pēc vidusposma pārskata netiks piešķirta, tad par attiecīgo finansējuma apmēru tiks samazināts paredzētais plānotais finansējums, kā arī tiks attiecīgi samazināti noteiktie rezultāta un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sasniedzamos iznākuma rādītājus, ņemts vērā, ka pastāv risks, ka ekonomiskā situācija valstī, kas var ietekmēt uzņēmuma spēju izdzīvot un turpināt saimniecisko darbību, vai arī var pastāvēt salīdzinoši zems uzņēmumu motivācijas līmenis ieguldīt inovācijās un pētniecībā vai var pastāvēt zema uzņēmumu izpratne par tam piemērotāko atbalsta pakalpojumu uzņēmuma attīstībai, izaugsmei, eksporta veicināšanai, un citi riski, kas attiecīgi var radīt zināmu risku mērķa rādītāju sasniegšanā. Rādītājos tiek skaitīti unikāli komersanti, kas pirmo reizi ir saņēmuši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pasākuma ietvaros KPVIS sistēmā tiek uzkrāti šādi RIS3 rādītāji katrā no RIS3 jomām sadalījumā pa gala labuma guvēju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kapitālizdevumi– ēkas, iekārtas, intelektuālā īpašuma tiesības, datoru programmatūra (pētniecības un attīstības (turpmāk -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ārējie izdevumi pētniecības darbiem, kas pasūtīti citās iestādēs, uzņēmumos, organizācijās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P&amp;A izdevumu apjoms – publiskais finansējums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P&amp;A izdevumu apjoms – privātās investīcijas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rūpnieciskie (lietišķie) pētījumi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pētījumi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rūpnieciski ekonomiskā priekšizpēte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spēka izmaksas (P&amp;A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jaunradītās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jaunradītie produkti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jaunradītie pakalpojumi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komersantu skaits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patents un patentu pieteikumi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licences līgumi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augu šķirne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reģistrēts dizainparaugs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objekti-pusvadītāja izstrādājums vai tā pieteikums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preču zīme (ieskaitot kolektīvās zīmes) un sertifikācijas 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iesaistītais zinātniskais personāls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 - jaunie zinātnieki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 - maģistranti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 -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iesaistītais zinātniskais personāls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 - jaunie zinātnieki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 – maģistranti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 - doktoranti un doktora grāda pretendenti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iesaistītais zinātnes tehniskais personāls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tehniskais personāls - jaunie zinātnieki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tehniskais personāls - maģistranti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tehniskais personāls -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iesaistītais zinātnes tehniskais personāls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tehniskais personāls - jaunie zinātnieki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tehniskais personāls – maģistranti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tehniskais personāls - doktoranti un doktora grāda pretendenti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publikācijas WoS un SCOPUS, t.sk. publikācijas WoS un SCOPUS sadarbībā ar industriju,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sansiegto RIS3 rādītājus iesniedz kopā ar maksājuma pieprasījumu vai 10 darba dienu laikā pēc Atbildīgās iestādes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2021.-2027.gada periodā mērķorientētu atbalsta pasākumu kopumu un klientorientētu darbību, LIAA šajos noteikumos paredzētajā atbalsta programmā, ievēros šādus atbalsta sniegšanas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Klientorientēta pieeja (klienta vajadzību izpratne, profesionāla un kompetenta ekspertu komanda);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Izvērtējumā balstīta pieeja (inovāciju gatavības līmenis, digitalizācijas gatavības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Sinerģija ar citiem atbalsta pasākumiem (komersanta idejas attīstību papildinoši pasākumi, konkurētspēju veicinoši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Inovāciju vaučeru atbalsta nodrošināšana komersantiem un atbalsta nodrošināšana augsti kvalificētu darbinieku piesaistei jaunuzņēmumiem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 darbībām augsti kvalificētu darbinieku piesaistei un darbībām, kas tiek īstenotas kā inovāciju vaučeru projekts, ir sīkie (mikro), mazie un vidējie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gala labuma guvēja darbības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ekonomiskā priekšizpēte (atbalsts nepārsniedz 5 000 euro vaučera vienreizējam pasākumam vai nepārsniedz 25 000 euro, ja iepriekš nav saņemts vaučers vienreizējam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rūpnieciskie pētījumi (atbalsts nepārsniedz 5 000 euro vaučera vienreizējam pasākumam vai nepārsniedz 25 000 euro, ja iepriekš nav saņemts vaučers vienreizējam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eksperimentālā izstrāde (atbalsts nepārsniedz 5 000 euro vaučera vienreizējam pasākumam  vai nepārsniedz 25 000 euro, ja iepriekš nav saņemts vaučers vienreizējam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produkta rūpnieciskā dizaina izstrāde (atbalsts nepārsniedz 5 000 euro vaučera vienreizējam pasākumam vai nepārsniedz 25 000 euro, ja iepriekš nav saņemts vaučers vienreizējam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rūpnieciskā īpašuma tiesību nostiprināšana (nepārsniedz 25 000 euro vaučeru)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 produkta vai tehnoloģijas sertificēšanas un testēšanas pakalpojumi (nepārsniedz 25 000 euro vaučeru);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augsti kvalificētu darbinieku piesaiste konkrētu pētniecības aktivitāšu, tehnoloģisku problēmu risināšanai vai jaunu un būtisku uzlabotu produktu vai tehnoloģiju izstrādei (nepārsniedz 25 000 euro inovācijas vaučera projekta ietvaros un jaunuzņēmumiem finansējuma apjoms noteikts saskaņā ar normatīvajiem aktiem jaunuzņēmumu darbības atbalsta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dizainera pakalpojums jauna produkta un procesa inovāciju ieviešanai uzņēmumā, kas ietver klienta (lietotāja) pieredzes un esošās situācijas izpēti un apzināšanu un problēmu identificēšanu, risinājumu radīšanu, to prototipēšanu, prototipu testēšanu, kā arī risinājumu ieviešanu un uzlabošanu, balstoties uz klienta (lietotāja) sniegto atgriezenisko saiti (nepārsniedz 5 000 euro vaučeru).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komersantam vaučera projektos atbalsts viena jauna produkta vai tehnoloģiju izstrādei nepārsniedz 25 000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var pretendēt uz atbalsta saņemšanu inovāciju vaučeru projektam,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jaunajam produktam vai tehnoloģijai ir pamatots pieprasījums un identificētas priekšrocības, kas spēj paaugstināt komersanta konkurētspēju un produktivitāti;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tam ir izstrādāts jaunu produktu vai tehnoloģiju biznesa un attīstības plāns no jauna produkta vai tehnoloģijas izstrādes līdz ieviešanai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neatbilst grūtībās nonākuša komersanta statusam saskaņā ar Regulas Nr. 651/2014 2. panta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atbalsta piešķiršanas brīdi uz to nav attiecināms kāds no Eiropas Savienības fondu 2021. - 2027. gada plānošanas perioda vadības likuma 22. pantā noteiktajiem projekta iesniedzēju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šā pasākuma ietvaros nav sniedzis nepatiesu informāciju vai nav tīši maldinājis par Eiropas Savienības struktūrfondu un Kohēzijas fonda līdzfinansēto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kopā ar pieteikumu atbalsta saņemšanai iesniedz apliecinājumu, ka tas projekta īstenošanas laikā un trīs gadus pēc tā,  atbilstoši Gada pārskatu un konsolidēto gada pārskatu likumā noteiktajam, gada pārskatā un konsolidētajā gada pārskatā iekļaus detalizētu informāciju par pētniecības un attīstības izdevumiem, kā arī Centrālajā statistikas pārvaldei sniegs informāciju par pētniecības un attīstības izdevumiem un inovāciju aktivitātēm, atbilstoši Centrālās statistikas pārvaldes noteiktajām pārskatu formām un tās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Atbalsta pasākumu nodrošināšana komersantiem inovāciju iepirkuma ietvaros izstrādājamajiem jauniem produktiem un to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Eiropas Savienības dalībvalstis kopumā publiskā iepirkuma mērķiem tērē vidēji 19% no iekšzemes kopprodukta (IKP). Latvijā publiskais iepirkums vidēji veido 11% no IKP. 2022. gadā IKP faktiskajās cenās bija 39 080,7 milj. euro. Tas nozīmē, ka publiskajiem iepirkumiem tiek izlietoti aptuveni 4 298,8 milj. euro. Ja pieņemtu, ka inovāciju iepirkums no kopējā iepirkuma apjoma veidotu, piemēram, 0,5% ik gadu, publiskais pasūtījums inovatīvu risinājumu iepirkšanai katru gadu būtu vidēji 21,5 milj. euro. Tas nozīmē, ka katru gadu vismaz 21,5 milj. euro tiktu novirzīti inovatīvu risinājumu izstrādei, t.sk. uzņēmumos, atbilstoši publiskā sektora pasūtījumam. Tas nozīmē, ka publiskajam iepirkumam ir milzīgs potenciāls virzīt attīstību dažādās nozarēs, stimulēt nākotnes tirgu un risināt aktuālās sabiedrības problēmas, tostarp kalpot par instrumentu ekonomikas izaugsmei, zaļās un digitālās pārkārtošanās veicināšanai. Turklāt publiskajam iepirkumam ir arī nozīmīga loma kā inovācijas politikas instrumentam, kas vērsts uz pētniecības, attīstības un inovāciju aktivitāšu finansēšanu. Arī Latvijā inovāciju iepirkums var sekmēt ne tikai publisko resursu efektīvāku izmantošanu, bet arī veicināt inovāciju ātrāku ieviešanu uzņēmumos un publiskā sektora lietotāju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iepirkums Latvijā organizētajos publiskajos iepirkumos ir īstenojams esošā normatīvā regulējuma ietvaros. Turklāt, lai labāk atbilstu inovācijas iepirkuma vajadzībām, palielinātu tiesisko noteiktību un samazinātu ar inovāciju saistītos riskus, ir ieviesta inovācijas partnerības procedūra, kura tiek īstenota saskaņā ar Ministru kabineta 2017. gada 28. februāra noteikumu Nr. 107 2.5 “Inovācijas partnerības procedūra” apakšnodaļā noteikto. Neskatoties uz to, publiskais un privātais sektors pilnībā neizmanto šā stratēģiskā publiskā iepirkuma instrumenta sniegtas iespējas, lai modernizētu savus pakalpojumus un atbalstītu ilgtspējīgu risinājumu ieviešanu un inovācijas. Daļēji tas saistīts ar to, ka šobrīd Latvijā nepastāv sistemātiskais valsts atbalsta instruments, kas veicinātu inovatīvu un jaunu tehnoloģiju radīšanu, izmantojot inovāciju iepirkumus.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valsts atbalstu komersantiem inovāciju iepirkuma ietvaros izstrādājamajiem jauniem produktiem un to komercializācijai, atbalsta pasākums granta veidā ir paredzēts komersantiem, lai īstenotu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eksperimentālā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 produkta vai tehnoloģijas sertificēšanas un testēšanas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minēto darbību īstenošanai komersants var saņemt pie nosacījuma, ja kādas no minētas darbības īstenošanai tas ir noslēdzis līgumu ar Pasūtītāju, kas atbilst Publisko iepirkumu likuma 1. panta 19. punktā noteiktajam, par iepirkuma Līguma priekšmetu un par to ir publicēts paziņojums Iepirkuma uzraudzības biroja mājas lapā. Vienlaikus, iepirkumam, kurā piedalījies komersants, jābūt organizētam kā inovāciju partnerības procedūra, atbilstoši Publisko iepirkumu likuma 8. panta pirmās daļas 5. punktā noteiktajam un ievērojot Ministru kabineta 2017. gada 28. februāra noteikumu “Iepirkuma procedūru un metu konkursu norises kārtība” Nr. 107 2.5. apakšnodaļā “Inovācijas partnerības procedūra”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pieteikuma ietvaros atbalsts komersantam iepirkuma Līguma priekšmeta īstenošanai ir pieejams 50% apmērā no Līguma cenas ar Pasūtītāju par iepirkuma Līguma priekšmetu, bet ne vairāk kā 50 000 euro apmērā. Savukārt atlikušo Līguma cenas daļu sedz Pasūtītājs un par to tiek iesniegts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plāno organizēt publisko iepirkumu, izmantojot inovācijas partnerības procedūru, lai iepirkuma rezultātā iegādātos inovatīvu risinājumu (piemēram, mākslīgā intelekta risinājums pilsētas plūdu draudu risku monitoringam). Pašvaldībai kā pasūtītājam ir zināma vajadzība, bet nav zināms tirgū pieejamais/piedāvātais risinājums, kas šo vajadzību risinātu. Ņemot vērā, ka inovāciju partnerības procedūra sniedz iespēju iepirkuma procedūrā visiem ieinteresētajiem piegādātājiem pieprasīt tiesības piedalīties, bet piedāvājumus var iesniegt tikai tie kandidāti, ko pasūtītājs uzaicina, var rasties situācija, kurā ieinteresētais piegādātājs vai vēlāk – pašvaldības uzaicinātais kandidāts ir lielais komersants. Šādā gadījumā pašvaldībai, zinot par EM atbalsta iespējamību, iepirkuma dokumentācijā (piemēram, kandidātu atlases nolikumā) ir iespēja iekļaut prasību par to, ka lielajam komersantam inovatīvā risinājumu izstrādes gaitā kādā no inovāciju partnerības īstenošanas posmiem ir jāparedz MVU iesaiste atsevišķu darbu izpildei. Vienlaikus, ja pašvaldība šādu prasību iepirkuma dokumentācijā (piemēram, kandidātu atlases nolikumā) nav noteikusi, uzaicinātais kandidāts, ja tas ir lielais komersants, zinot par EM atbalsta iespēju, savā piedāvājumā iekļauj sadarbības modeli ar MVU kādu noteiktu inovatīvā risinājuma posmu izpildei, tādējādi nodrošinot iespēju piesaistīt EM atbalstu inovatīva risinājuma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pašvaldības kā Pasūtītāja un uzņēmuma sadarbības rezultāts ir jauna produkta vai pakalpojuma piegāde pašvaldībai, kas risina tās vajadzību konkrētu pašvaldības funkciju īstenošanai, savukārt uzņēmumam tiek radīts pirmais jauna produkta vai pakalpojuma pasūtījums, tādējādi radot iespēju nākotnes pasūtījumiem no citiem klientiem vai izejai eksporta tirgos. Piemērs šādai inovāciju partnerības procedūras izmantošanai ir AS “Latvijas valsts meži” īstenotais iepirkums. Piemērs: https://labsoflatvia.com/iedvesmas-stasti/video-ka-notika-pirmais-inovacijas-partneribas-iepirkums (piemēra atsauce Ekonomikas ministrijas sadarbībā ar Iepirkumu uzraudzības biroju sagatavotajā materiālā: https://www.em.gov.lv/sites/em/files/content/Inov%C4%81cijas_dep/em-broshura_elektroniska.pdf).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Finansējuma saņēmēja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pasākuma ietvaros Finansējuma saņēmējs, kas nodrošina projekta īstenošanu atbalstāmas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vadības nodrošināšana, tajā skaitā iepirkumu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komunikācijas un vizuālās identitātes pasākumu nodrošināšana, ievērojot nediskriminācijas principus (komunikācijas un vizuālās identitātes pasākumu nodrošināšana ir saskaņā ar saistošo normatīvo aktu un citu dokumentu noteiktajām prasībām). Darbības ietver ne tikai obligāto publicitātes prasību ievērošanu, bet arī atbalsta programmu popularizēšanu tās mērķa grupām un citām ieinteresētajām pusēm, piemēram, pakalpojuma sniedzējiem, riska kapitāla investoriem;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uzņēmumu datu bāzu iegāde, datu monitorings un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IT sistēmu, programmu un rīku izstrādes pakalpojumi, datu un informācijas uzkrāšana;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līdzdalība dalībai starptautiskajās izstādēs, kontaktbiržās, konferencēs ārvalstīs, individuālajās vizītēs un dalībai LIAA organizētaos nacionālajos stendos un tirdzniecības misijās;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intereses un sadarbības veidošana starp potenciālajiem pētniecisko izstrādņu ideju komercializētājiem un pētniecības organizācijām par to īpašumā esošo pētījumu rezultātu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konsultāciju sniegšana pētniecības organizācijām, pētniekiem un komersantiem par tehnoloģiju pārnesi un inovāciju, tostarp par pieejamajiem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inovāciju vaučeru atbalsta pakalpojumu nodrošināšana sīkajiem (mikro), mazajiem un vidējiem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nodrošināšana komersantiem, mazām vidējas un vidējās kapitalizācijas sabiedrībām inovāciju iepirkumu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un informācijas uzkrāšana;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Latvijas tēla veidošana ārvalstīs inovāciju jomā, tai skaitā veicinot jaunuzņēmumu veidošanos un to atpazīstamību Latvijā un ārvalstīs, sniedzot informāciju un organizējot jaunuzņēmumu popularizēšanas pasākumus un piedaloties tajos, sekmējot investoru piesaisti jaunuzņēmumiem, izstrādājot mārketinga un publicitātes pasākumus, lai informētu sabiedrību par jaunuzņēmumu nozares aktualitātēm, organizējot seminārus un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jaunuzņēmumu darbības atbalstam noteiktās administrējošās iestādes funkciju veikšana augsti kvalificētu darba ņēmēju piesaistei atbilstoši Jaunuzņēmumu darbības atbalsta likuma 13.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atbalstāmās darbības tā funkciju īstenošanai nepārklāsies ar atbalstāmajām darbībām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Komercdarības atbalsta saņemšanas nosacījumi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īstenošanu plāno saskaņā ar vienošanos par projekta īstenošanu, kas noslēgta starp finansējuma saņēmēju un sadarbības iestādi,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nesaņem komercdarbības atbalstu un darbojas kā starpnieks, piešķirot atbalstu gala labu guvējam pakalpojumu vai grantu un vaučeru veidā. Finansējuma saņēmējs darbojas kā starpnieks, kas nav saimnieciskās darbības veicējs, un īsteno tam noteikto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minētās izmaksas finansējuma saņēmējam ir attiecināmas sākot no šo noteikumu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guvējam saskaņā ar publiski pieejamo informāciju VID administrēto nodokļu (nodevu) parādnieku datubāzē  nav nodokļu vai nodevu parādu, tai skaitā valsts sociālās apdrošināšanas obligāto iemaksu parādu, kas kopsummā pārsniedz 150 euro, izņemot nodokļu maksājumus, kuru maksāšanas termiņš saskaņā ar likuma "Par nodokļiem un nodevām"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pirms katras atbalsta piešķiršanas divas darba dienas pēc gala labuma guvēja pieteikuma vai tā precizējuma, ja attiecināms, iesniegšanas pārbauda, vai gala labuma guvējam saskaņā ar VID administrēto nodokļu nodevu parādnieku datu bāzē pieejamo informāciju gala labuma guvēja pieteikuma vai tā precizējuma, ja attiecas, iesniegšanas dienā nav nodokļu vai nodevu parādu, tai skaitā valsts sociālās apdrošināšanas obligāto iemaksu parādu (ievada gala labuma guvēja reģistrācijas numuru un nosaukumu Finansējuma saņēmējam pieejamajā VID datu bāzē un pārliecinās par gala labuma guvēja nodokļu parādu esamību). Finansējuma saņēmējs nepiešķir atbalstu gala labuma guvējam, ja tiek konstatētas nodokļu parādsaistības virs noteiktā limita. Augstāk minētā kārtība, kādā Finansējuma saņēmējs pārbauda gala labuma guvēju nodokļu parādus, tiks noteikta Finansējuma saņēmēja iekšējās kārtības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guvējs, ievērojot Eiropas Komisijas 2013. gada 18. decembra Regulas (ES) Nr. 1407/2013 par Līguma par Eiropas Savienības darbību 107. un 108. panta piemērošanu de minimis atbalstam (turpmāk – Komisijas regula Nr. 1407/2013) 5. panta 1. un 2. punktu, de minimis atbalstu drīkst kumulēt ar citu de minimis atbalstu līdz Komisijas regulas Nr. 1407/2013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gala labuma guvējs vienlaikus darbojas vienā vai vairākās neatbalstāmajās nozarēs un veic neatbalstāmās darbības vai citas darbības, kas ietilpst Komisijas regulas Nr. 1407/2013 darbības jomā, de minimis atbalsta saņēmējs nodrošina šo nozaru darbību vai izmaksu nodalīšanu saskaņā ar Komisijas regulas Nr. 1407/2013 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komercdarbības atbalsta kontroles normas, kas izriet no Komisijas regulas Nr. 1407/2013, komercdarbības gala labuma guvējam ir pienākums atmaksāt atbalsta sniedzējam visu projekta ietvaros saņemto de minimis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lai nodrošinātu izmaksu demarkācija ar citām programmām, kurās arī plānota Finansējuma saņēmēja administratīvo izmaksu segšana, darbiniekus nodarbinās amata apraksta kontekstā un slodzes noteiktas pēc darba laika uzskaites, iekšējiem rīkojumiem un normatīviem.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Ārējie eksperti, juridiskie pakalpojumi, konsultanti, konsultāciju pakalpojumi, darbinieki, ja tiek piesaistīti uz vairākām atbalsta programmām, tad attiecīgi izmaksas tiek proporcionāli nodalītas atbilstoši katra atbalsta programmas noslodzei kopumā nepārsniedzot 100%. Darbības izmaksu attiecināšanai klientam iesniedzamajos dokumentos būs jābūt norādītam īstenojamā projekta numuram, tādējādi nodrošinot attiecināmo izmaksu nepārklāšanos ar izmaksām citā programmā. Ārējie pakalpojumi tiks organizēti iepirkumu veidā, attiecīgi tas neradīs dubultā finansējuma un neatbilstoši veikto izdevumu riskus. Finansējuma saņēmēja sniegtie pakalpojumi netiks dublēti ar Finansējuma saņemtajiem iepirktajiem pakalpojumiem. Ārējie pakalpojumi tiks iegādāti tad, ja Finansējuma saņēmēja projekta īstenošanas kompetence un kapacitāte neļaus nodrošināt kādu no paredzētajām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pasākuma demarkāciju, piemēram, ar Eiropas Savienības kohēzijas politikas programmas 2021.–2027. gadam pasākumiem 1.2.3.1. "Atbalsts MVU inovatīvas uzņēmējdarbības attīstībai", 1.2.3.1. "Tūrisma produktu attīstības programma", Latvijas Atveseļošanas un noturības mehānisma investīcijām 5.1.1.1.i. "Pilnvērtīga inovāciju sistēmas pārvaldības modeļa izstrāde un tā nepārtraukta darbināšana", 2.2.1.2.i.  "Atbalsts procesu digitalizācijai komercdarbībā" un citiem publiskā finansējuma avotiem tiks veiktas sekojošas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labuma guvēju atlases nosacījumos tiks iekļauta prasība atbalsta pretendentam iesniegt apliecinājumu, ka tas nesaņem un neplāno saņemt atbalstu par tām pašām darbībām citu ES fondu aktivitāšu vai citu finanšu instrumentu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pretendējot uz finanšu atbalstu, gala labuma guvējs iesniegs apliecinājumu, ka atbalsta pretendents pasākuma ietvaros neparedz saņemt un nesaņems finansējumu par tām pašām attiecināmajām izmaksām, kas vienlaikus tikušas, tiek finansētas vai kuras plānots finansēt no citiem ES, finanšu instrumentu, valsts vai pašvaldības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labuma guvējiem būs pienākums iesniegt </w:t>
      </w:r>
      <w:r w:rsidR="00000000" w:rsidRPr="00000000" w:rsidDel="00000000">
        <w:rPr>
          <w:i w:val="1"/>
          <w:rtl w:val="0"/>
        </w:rPr>
        <w:t xml:space="preserve">de minimis</w:t>
      </w:r>
      <w:r w:rsidR="00000000" w:rsidRPr="00000000" w:rsidDel="00000000">
        <w:rPr>
          <w:rtl w:val="0"/>
        </w:rPr>
        <w:t xml:space="preserve"> uzskaites veidlapu, kā arī sniegtais atbalsts tiek uzskaitīts </w:t>
      </w:r>
      <w:r w:rsidR="00000000" w:rsidRPr="00000000" w:rsidDel="00000000">
        <w:rPr>
          <w:i w:val="1"/>
          <w:rtl w:val="0"/>
        </w:rPr>
        <w:t xml:space="preserve">de minimis</w:t>
      </w:r>
      <w:r w:rsidR="00000000" w:rsidRPr="00000000" w:rsidDel="00000000">
        <w:rPr>
          <w:rtl w:val="0"/>
        </w:rPr>
        <w:t xml:space="preserve"> atbalsta uzskaites sistēmā, kur redzams, kādu </w:t>
      </w:r>
      <w:r w:rsidR="00000000" w:rsidRPr="00000000" w:rsidDel="00000000">
        <w:rPr>
          <w:i w:val="1"/>
          <w:rtl w:val="0"/>
        </w:rPr>
        <w:t xml:space="preserve">de minimis</w:t>
      </w:r>
      <w:r w:rsidR="00000000" w:rsidRPr="00000000" w:rsidDel="00000000">
        <w:rPr>
          <w:rtl w:val="0"/>
        </w:rPr>
        <w:t xml:space="preserve"> atbalstu konkrētais atbalsta pretendents saņēmis līdz šim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2014.–2020. gada plānošanas perioda Darbības programmas "Izaugsme un nodarbinātība" pasākumi tiks noslēgti līdz 31.12.2023 un atbalsts, pasākumu ietvaros, vairs netiks nodrošināts un nepārklāsies ar 1.2.1.4.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Finansējuma saņēmēja pienākumi, kas saistīti ar komercdarbības atbalsta administrēšanu un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izstrādā kārtību par gala labuma guvēju atlasi, atbalsta piešķiršanu un tā uzskaiti. Finansējuma saņēmējs lēmumu par atbalsta piešķiršanu pieņem saskaņā ar minēto kārtību. Īstenojot projektu ir aktivitātes, kas ir attiecināmas uz neidentificējamu klientu loku un līdz ar to šādas aktivitātes nav atzīstamas par komercdarbības atbalstu. Minētā kārtība/procedūra ir jāsaskaņo ar Atbildīgo iestādi un jāiesniedz projekta īstenošanas stratēģijas ietvaros pie projekta iesnieguma.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līdz ar projekta iesnieguma iesniegšanu iesniedz tā izstrādātu procedūru, kādā tas nodrošinās komercdarbības atbalsta sniegšanu gala labuma guvējiem.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gala labuma guvējam pirms de minimis atbalsta piešķiršanas pārbauda, vai atbalsta apmērs kopā ar attiecīgajā fiskālajā gadā un iepriekšējos divos fiskālajos gados piešķirto de minimis atbalstu nepārsniedz Komisijas regulas Nr. 1407/2013 3. panta 2. punktā noteikto maksimālo de minimis atbalsta apmēru. De minimis atbalsta apmērs tiek vērtēts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lēmumu par de minimis atbalsta piešķiršanu saskaņā ar Komisijas regulas Nr. 1407/2013 7. panta 4. punktu un 8. pantu var pieņemt līdz šīs Komisijas regulas darbības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pasākuma ietvaros nodrošinātu demarkācijas principa ievērošanu un, lai gala labuma guvējs par vienām un tām pašām izmaksām nesaņem atbalstu vienlaicīgi no, piemēram, inovāciju vaučera aktivitātēm un jaunuzņēmumu aktivitātēm, tiks nodrošināta informācijas apmaiņa par piešķirto atbalstu. Visos gala labuma guvēja pieteikumos tiks iestrādāta sadaļa par kumulatīvo atbalstu, kurā gala labuma guvējs norādīs projektus, kuros saņemtais vai plānotais valsts vai cita veida atbalsts tiks kumulēts ar konkrētā pieteikuma pieprasīto finansējumu. Kā arī vienotajā de minimis atbalsta uzskaites sistēmā, vērtējot atbalsta piešķiršanu pārliecinās, vai konkrētajām darbībām par vienām un tām pašām izmaksām atbalsts jau nav saņemts.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ir brīva izvēle, kuras regulas atbalstam pieteikties (saskaņā ar Komisijas regulu Nr. 1407/2013 vai Regulu Nr. 651/2014). Tādējādi tiks nodrošināts, ka komersants atkarībā no situācijas var izvēlēties vienu vai otru atbalsta veidu – paredzot iespēju pretendēt uz atbalstu saskaņā ar Regulu Nr. 651/2014 un de minimis atbalstu saskaņā ar Komisijas regulu Nr. 1407/2013 izmantot citā atbalsta programmā (neizsmeļot pieejamo de minimis atbalstu šo MK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komisiju locekļi, eksperti, novērotāji un finansējuma saņēmēja darbinieki, kas iesaistīti gala labuma guvēju pieteikumu vērtēšanas procesā, paraksta šo noteikumu 1. pielikumā esošo objektivitātes, konfidencialitātes un interešu konflikta neesības apliecinājumu, ka nepiedalīsies gala labuma guvēju pieteikumu izvērtēšanā interešu konflikta situācijā un vērtēšanas komisijas sēdēs, kurās tiks apstiprināti gala labuma guvēju pieteikumi. Apliecinājumu paraksta pirms gala labuma guvēju pieteikumu izskatīšanas un vērtēšanas. Apliecinājumu Finansējuma saņēmējs glabā atbilstoši Regulas Nr. 2018/1046 132. pantam un šo noteikumu 87.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izvērtē gala labuma guvējus Eiropas Savienības fondu 2021. - 2027. gada plānošanas perioda vadības likuma (turpmāk – Fondu vadības likums) 22. pantā noteiktajiem projekta iesniedzēju izslēgšanas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izslēgšanas nosacījumu kontrole tiek veikta, tostarp pārbaudot attiecīgās personas sodāmību Iekšlietu ministrijas Informācijas centra pārziņā esošajā valsts informācijas sistēmā “Sodu reģistrs” (saņemot informāciju izziņas veidā) saskaņā ar zemāk norādītajām normām. Pēc informācijas sistēmas saņemšanas no valsts informācijas sistēmas “Sodu reģistrs”, Finansējuma saņēmējs informāciju par Fondu vadības likuma 22. panta pirmās daļas 2. punktā noteiktajiem izslēgšanas nosacījumiem pārbauda Valsts ieņēmumu dienestā (turpmāk – VID) un Valsts darba inspekcijā.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02"/>
        <w:gridCol w:w="3063"/>
        <w:gridCol w:w="2925"/>
        <w:tblGridChange w:id="0">
          <w:tblGrid>
            <w:gridCol w:w="3202"/>
            <w:gridCol w:w="3063"/>
            <w:gridCol w:w="292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akta norma</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79.1 pants. Terorisms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79.2 pants. Terorisma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79.3  pants. Teroristu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79.4 pants. Personas vervēšana,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79.5 pants. Ceļošana terorisma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79.6 pants. Terorisma attaisnošana, aicinājums uz terorismu un terorisma draudi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89.1 pants. Noziedzīga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154.1 pants.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184.pants trešā daļa. Izspiešana organizētā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nodokļiem un tiem pielīdzināto maksājumu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 (ja kriminālprocess ierosināts līdz Krimināllikuma grozījumu stāšanās spēkā, t.i. 2022. gada 4.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326.1 pants.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326.2 pants. Prettiesiska labumu pieprasīšana un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326.3 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142.panta otrā daļa. Informatīvo deklarāciju iesniegšanas termiņu neievērošanu</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pirmā daļa (tostarp jebkurš no minētās daļas punktiem), ja par vertikālo vienošanos, kuras mērķis ir ierobežot pircēja iespēju noteikt tālākpārdošanas cenu, vai horizontālā karteļa vienošanos kā izslēgšanas pamatu no iepirkuma procedūras Sodu reģistrā ir norādījusi Konkurences padome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vienas vai vairāku personu  nodarbināšanu, ja attiecīgā persona ir tiesīga uzturēties Latvijas Republikā, bet tai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vairāk nekā piecu personu nodarbināšanu, ja tās ir tiesīgas uzturēties Latvijas Republikā, bet tām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vienas vai vairāku tādu personu (līdz piecām personām) nodarbināšanu, kuras nav tiesīgas uzturēties Latvijas Republikā.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novērsta vai mazināta pasākuma ietvaros atbalstāmo darbību ietekme uz vidi, ir sagatavots principa “Nenodarīt būtisku kaitējumu” novērtējuma apraksts, kur norādīts, ka pasākuma ietvaros plānotās atbalstāmās darbības neradīs tiešu ietekmi uz klimata pārmaiņām, nerada kaitējumu ūdens resursu ekoloģiskajam potenciālam, kā arī pasākuma īstenošana nerada piesārņojumu un nerada kaitējumu vides ekosistēmai.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ir tiesības vienpusēji atkāpties no noslēgtā līguma par atbalsta sniegšanu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nepilda vienošanos par atbalsta saņemšanu, tai skaitā netiek ievēroti noteiktie termiņi, vai ir iestājušies citi apstākļi, kas negatīvi ietekmē vai var ietekmēt specifiskā atbalsta mērķa, tā iznākuma vai rezultāta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saņēmējs apzināti ir sniedzis sadarbības iestādei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ko paredz vienošanās par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kopā ar projekta iesniegumu apliecināt, ka projekta iesnieguma iesniegšanas brīdī Finansējuma saņēmējs ir informēts par Regulas Nr. 2018/1046, Eiropas Parlamenta un padomes 2014. gada 26. februāra direktīvas Nr. 2014/24/ES 2014/24/ES par publisko iepirkumu un ar ko atceļ Direktīvu 2004/18/EK, likuma “Par interešu konflikta novēršanu valsts amatpersonu darbībā” un Eiropas Komisijas 2021. gada 9.aprīļa paziņojuma Nr. C/2021/2119 Norādījumu par izvairīšanos no interešu konfliktiem un to pārvaldību saskaņā ar Finanšu regulu un apņemas tās ievērot. Šāds nosacījuma nepieciešamība izriet no Revīzijas iestādes audita Nr. SA/ESIF/2020/10 ziņojumā ietvertā ieteikuma.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Vienkāršoto izmaksu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atbildīgā iestāde izstrādās un saskaņos līdz projekta iesniegšanai Sadarbības iestādē vienkāršoto izmaksu metodiku, kas saistīta ar finanšu atbalsta sniegšanu gala labuma guvējiem augsti kvalificēta darba spēka atbalstam (attiecīgi 38.punktā norādītajām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tiek nodrošināts gala saņēmēju līmenī, 1.2.1.4. pasākumā neizpildās obligāta Regulas nr. 2021/1060 53.panta 2. punkta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Nr.2021/1060 55. panta 1. punktu tiek noteikts, ka Finansējuma saņēmēja tiešās personāla izmaksām (mēnešalga, atvaļinājuma pabalsts, naudas balvas, novērtēšana, veselības apdrošināšanas polises prēmija, VSAOI) tiek piemērota vienotā likme 20%  no  tiešajām attiecināmajām izmaksām, neieskaitot personāla izmaksas (MK noteikumu projekta 22.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Vienkāršoto izmaksu aprēķini ir dokumentāli pierādāmi un pārbaudāmi, tie ir balstīti Valsts un pašvaldību institūciju amatpersonu un darbinieku atlīdzības likuma 4.2 pantu un 3. pielikumu un Ministru kabineta 2022. gada 21. jūnija noteikumu Nr. 361 “Noteikumi par valsts institūciju amatpersonu un darbinieku darba samaksu un tās noteikšanas kārtību, kā arī par profesijām un specifiskajām jomām, kurām piemērojams tirgus koeficients” 6. un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Atalgojuma izmaksas nav noteiktas pārmērīgi augstas vai zemas, un tie piemērotas vienādi projekta ietvaros atbilstoši amata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MK noteikumu projekta izstrādes laikā ir informējusi LIAA par likmes piemērošanas nosacījumiem, kā arī likmes apmērs ir noteikts MK Noteikumu 22. Attiecīgi vienotās likmes aprēķins Finansējuma saņēmēja personāla izmaksām ir taisnīgs, objektīvs, pārbaudāms un iepriekš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piemērota vienotā likme līdz 20% saskaņā ar Regulas Nr.2021/1060 55. panta 1. punktu, ir papildus uzskatāms, ka šādi tiek ievēroti taisnīguma, objektivitātes, pārbaudāmības un iepriekšējās noteiktības pamatprincipi, jo attiecīgie likmes piemērošanas nosacījumi ir iepriekš horizontāli un ar augstāku normatīvo aktu noteikti un zināmi. Tāpat Finansējuma saņēmējs būs valsts tiešās pārvaldes iestāde, kurai ir saistoši tādi normatīvie akti, kā likums "Valsts un pašvaldību institūciju amatpersonu un darbinieku atlīdzības likums” un Ministru kabineta 2022. gada 26.aprīļa noteikumi Nr.262 “Valsts un pašvaldību institūciju amatu katalogs, amatu klasifikācijas un amatu apraksta izstrādāšanas kārtību”, kas papildus apliecina, ka tiks ievēroti augstāk minētie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plānots administrēšanas personāls ar 9 amata vietu un īstenošanas personāls ar 21 amata vietām. LIAA iestādes ietvaros nodrošinās izmaksu nepārklāšanos. Projekta ietvaros atalgojuma izmaksas paredzētas tādām amata vietām kā departamenta direktors, departamenta direktora vietnieks, nodaļas vadītājs, nodaļas vadītāja vietnieks, , vecākais projektu vadītājs, vadošais eksperts,  vecākais jurists, grāmatvedis, informācijas sistēmu administrators, vecākais personāla speciālists, Paredzētās mēnešalgu grupas ir no 8-13, savukārt amatu saimes ir 17, 21.5, 24, 34, 36 un 39.1. Noteiktais mēnešalgas intervāla viduspunkts ir paredzēts no 1388 – 3850 EUR. Saskaņā ar atlīdzības likuma reformu – LIAA izstrādā plānu mēnešalgu pakāpeniskai palielināšanai, iekļaujoties atlīdzības skalas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anotācijā ir aprakstīts kā LIAA nodalīs iestādes funkcijas no citiem iepirktiem pakalpojumiem projekta ietvaros. Personāla izmaksas nepārklāsies ar citiem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iepirkumu izmaksas neietver publiskus piegādes vai pakalpojumu līgumus, kuru vērtība pārsniedz MK 2017.gada 28.februāra noteikumos Nr.105 noteiktās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braucienu un komandējumu izmaksas, atbilstoši MK noteikumu 65. punkta norādītajam, attiecināmas saskaņā ar normatīvajiem aktiem par kārtību, kādā atlīdzināmi ar komandējumiem un darbinieku darba braucieniem saistītie izdevumi;  iekšzemes komandējumu izmaksas attiecināmas atbilstoši vadošās iestādes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Ārvalstu komandējuma izmaksas sedzamas projekta īstenošanas un vadības personālam un Finansējuma saņēmēja darbiniekiem, kas piedalās šo noteikumu 20.6., 20.7., 20.8., 20.9,  20.11. un 20.12. apakšpunktā minētajos pasākumos vai atbalsta to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pasākuma īstenošanai piemērojamās vadošās un atbildīgās iestādes sagatavotās 2021.-2027.gada plānošanas perioda vienkāršoto izmaksu metodikas, kuras attiecināmas programmas ietvaros, piemēro no to spēkā stāšanās brīža. 1.2.1.4. pasākumā paredzēto Atbildīgās iestādes izstrādāto vienkāršoto izmaksu metodiku plānots izstrādāt līdz izsludinātajai projekta atlasei.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veic izmaksu un ieguvumu analīzi atbilstoši sadarbības iestādes metodiskajiem materiāliem un pievieno kā projekta iesnieguma pielikumu.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noteikumu projekta apstiprināšanas, Finansējuma saņēmējs izstrādās kārtību (metodiku), kādā tiek veikta gala labuma guvēju atlase, atbalsta piešķiršana jaunu produktu izstrādes un komercializācijas un kā tiek veikta piešķirtā atbalsta uzskaite.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uzņēmējus, jo sniegs iespēju saņemt atbalstu jaunu produktu vizstrādei un attīstīšanai.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pildīs atbildīgas iestādes funkcijas, savukārt Latvijas Investīciju un attīstības aģentūra pildīs finansējuma saņēmēja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uzņēmēju konkurētspēju, īpaši, ja tie darbojas un/vai attīsta produktus un pakalpojumus kādā no RIS3 specializācijas jomām. Kā aktīvi šī atbalsta ieviesēji ir komersanti, kas pārstāv medicīnas un veselības zinātnes nozari, inženierzinātnes un tehnoloģijas, elektrotehnikas, elektronikas, informācijas tehnoloģijas nozari, apstrādes rūpniecību.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vienlīdzīga pieeja, plānots ka līdz ar atbalsta programmā paredzēto atbalstu tiks veicināra uzņēmējdarbības aktivitāte, kā arī sekmēta jaunu produktu un pakalpojumu izstrāde un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uzņēmumus, jo sniegs iespēju saņemt atbalstu jaunus produktu izstrādei. Pasākuma ietvaros plānots, ka kopumā tiks atbalstīti vismaz 200 komersanti, kas attīsta savus biznesa vai komercializācijas projektus. Balstoties uz atbildīgās iestādes aplēsēm, tiek plānots, ka pasākumā un LIAA atbalstītie komersanti izstrādās vai būtiski uzlabos 100 jaunus produktus ar augstu pievienotu vērtību. Pasākumā plānots atbalstīt vismaz 5 inovatīvā iepirkuma risinājumus. Atbalsta programmas ietvaros paredzēts, ka MVU varēs saņemt vaučeros 25 000 EUR. Inovatīvā iepirkuma gadījumā MVU varēs saņemt līdz 50 000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Provizoriski pēc aplēsēm, salīdzinot ar iepriekšējā Eiropas Savienības struktūrfonu perioda atbalsta programmu, atbalsta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komersanti inovācijās papildus piesaistīs 5 000 000 EUR privātās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200 komersantu pēc programmas beigām apgrozījums un eksports vidēji pieaugs par 1 miljonu uz katru komersantu, jeb aptuveni 150 000 000 EUR uz visu atbalstīto komersantu skaitu (ņemot vērā arī riska koeficientu, ka projekti netiks pabeigti vai nebūs komercializējami).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sniegts atbalsts vismaz 50 augsti kvalificētiem darbiniekiem un atbalsta saņemšanas rezultātā tiks darba spēka nodokļos tiks samaksāts 1 250 000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atbalsta programmas beigām veiks produktivitātes rādītāju izvērtējumu uzņēmuma līmenī, lai novērtētu programmas ietekmi uzņēmumu līmenī vai produktivitāte pieaug par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atbalsta programmā paredzētajām administratīvajām procedūrām, komersantiem būs nepieciešams sagatavot un iesniegt LIAA business gov.lv tīmekļa vietnē atbalsta pieteikumu un saistītos dokumentus (piem., biznesa idejas prezentāciju), kas nepieciešami, lai kvalificētos komercdarbības atbalstam, līdzīgi kā tas ir citās ES struktūrfondu programmās. Minēto dokumentu sagatavošanai MVU aptuveni var būt nepieciešamas aptuveni 4h jeb saskaņā ar valstī vidējo atalgojumu 1h veido 26,78 EUR, kas nozīmē, ka MVU darbiniekam dokumentu sagatavošanai monetārās izmaksas nav lielākas kā 107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projekta ietvaros būs iespējas izveidot jaunas darba vietas un saņemt par tām atbalstu, lai nodrošinātu jaunu produktu laišanu tirgū, tā būs pozitīva ietekme uz nodarbinātību. Plānots, ka augsti kvalificēti darbaspēka atalgojumam būs pieejams atbalsts vaučeru ietvaros 20 000 - 25 000 euro, savukārt jaunuzņēmumu atbalstam līdz 200 000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19 817,20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mikrouzņēmumi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MVU aptuveni var būt nepieciešamas aptuveni 4h jeb saskaņā ar valstī vidējo atalgojumu 1h veido 26,78 euro, kas nozīmē, ka MVU darbiniekam dokumentu sagatavošanai monetārās izmaksas nav lielākas kā 107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jaunuzņēmumi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MVU aptuveni var būt nepieciešamas aptuveni 4h jeb saskaņā ar valstī vidējo atalgojumu 1h veido 26,78 euro, kas nozīmē, ka MVU darbiniekam dokumentu sagatavošanai monetārās izmaksas nav lielākas kā 107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MVU aptuveni var būt nepieciešamas aptuveni 4h jeb saskaņā ar valstī vidējo atalgojumu 1h veido 26,78 euro, kas nozīmē, ka MVU darbiniekam dokumentu sagatavošanai monetārās izmaksas nav lielākas kā 107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MVU aptuveni var būt nepieciešamas aptuveni 4h jeb saskaņā ar valstī vidējo atalgojumu 1h veido 26,78 euro, kas nozīmē, ka MVU darbiniekam dokumentu sagatavošanai monetārās izmaksas nav lielākas kā 107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aptuveni var būt nepieciešamas aptuveni 4h jeb saskaņā ar valstī vidējo atalgojumu 1h veido 26,78 euro, kas nozīmē, ka MVU darbiniekam dokumentu sagatavošanai monetārās izmaksas nav lielākas kā 107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Ekonomikas ministrija, Latvijas Investīciju un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19 817,20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4 622 066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4 622 066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5 437 725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5 437 725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5 437 725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5 437 725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5 437 725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5 437 725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-815 659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1.2.1.4. pasākuma ietvaros plānotais kopējais attiecināmais finansējums ir 26 548 890 euro (t.sk. elastības finansējuma apjoms 4 187 431 euro), tai skaitā Eiropas Reģionālā attīstības fonda (turpmāk – ERAF) finansējums 22 566 556 euro t.sk. (t.sk. elastības finansējuma apjoms 3 559 317 euro) un valsts budžeta finansējums – 3 982 334 euro (t.sk. elastības finansējuma apjoms 628 114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iesniegumā pasākuma īstenošanai kopējo pasākuma pieejamo finansējumu plāno ne vairāk kā 22 361 459 euro apmērā, tai skaitā ERAF finansējumu – 19 007 239 euro apmērā un valsts budžeta finansējumu – 3 354 220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kopējā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 – 5 437 725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5 437 725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5 437 725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6 048 284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Kopumā projektā LIAA paredzētas 30 amata vietas, kas netiks veidotas kā jaunas amata vietas, bet tiks turpinātas kā projekta vadība un īstenošana, pārņemot funkcijas no ES struktūrfondu un Kohēzijas fonda 2014.-2020.gada plānošanas perioda šajā ES struktūrfondu plānošanas periodā, nosakot terminētu laika rāmi līdz 2029.gada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personāla un projekta īstenošanas personāla izmaksas ir 20% apmērā no pārējām tiešajām attiecināmajām izmaksām, neieskaitot personāla atlīdzības izmaksas.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Ekonomikas ministrija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projekta apstiprināšanas naudas plūsma tiek nodrošināt aktuālā SAM 1.2.1.2. pasākuma "Atbalsts tehnoloģiju pārneses sistēmas pilnveidošanai" projekta ietvaros. Ja projekts netiek apstiprināts un uzsākts līdz 2024.gada 1. janvārim, bet šie Ministru kabineta noteikumi būs līdz tam laikam apstiprināti, tad LIAA varētu būt iespēja, izvērtējot pārrāvuma ilgumu, segt darbinieku atalgojumu no budžeta.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1407/2013 ( 2013. gada 18. decembris ) par Līguma par Eiropas Savienības darbību 107. un 108. panta piemērošanu de minimis atbalstam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2021/1058 (2021. gada 24. jūnijs)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Ekonomias ministrija, izmantojot  Eiropas Komisijas elektroniskās paziņošanas sistēmu,20 darbdienu laikā no atbalsta pasākuma stāšanās spēkā nosūtīs kopsavilkuma informāciju Regulas Nr. 651/2014 II pielikumā noteiktajā standartizētajā formātā par atbalsta pasākumu.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2.panta 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2.panta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25. panta 5. punkta "b", "c" un "d" apakšpunktam, 6. punkta "a" apakšpunktam un 7. punktam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18.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25.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 un 98.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28.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6. panta 2. punkts un 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1. panta 2. punkta "c" un "d" apaksšpunkta,  3. punkta "c", "d" vai "e" apakšpunktā,  4. punkta "a" apakšpunktam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25. panta 2. punkta "c"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28. panta 2. punkta "c"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100., 109. un 110. punkts un 75.3.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58.panta 4.punkts un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9.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 panta 18. punkta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651/2014 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1407/2013 ( 2013. gada 18. decembris ) par Līguma par Eiropas Savienības darbību 107. un 108. panta piemērošanu de minimis atbalstam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61., 63., 78., 80., 81., 89. un 90. punkts un 87.1.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83., 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7. panta 4.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54.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 panta 1. punkts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2021/1058 (2021. gada 24. jūnijs)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Nr.2021/1058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2018/1046 132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2018/1046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punkts, 74.1. apakšpunkts un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 Latvijas Universitāšu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organizētas darba grupas, saskaņošanas sanāksmes, kā arī saņemti priekšlikumi un iebildumi MK noteikumu saskaņošanas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ņemti vērā saņemtie priekšlikumi programmas izstrādes procesā. Sabiedriskās līdzdalības procesā iebildumi un priekšlikumi netika saņemti.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priekšlikumi - nepieciešami grozījumi Zinātniskās darbības likumā, lai nodrošinātu komercializācijas iespēju publiskajām pētniecības organizācijām. Finansējuma saņēmējam jāorganizē regulāras darba grupas, lai informētu nozari par programmas virzību un sasniegtajiem rezultātiem.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neparedz radīt papildus administratīvo slogu.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 un vienlīdzīgas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nodrošināto noteikto aktivitāšu kopums labvēlīgi ietekmēs iedzīvotāju sociālo situāciju, tajā skaitā neizslēdz sociālās atstumtības riskam pakļauto grupu pieteikšanos pasākuma aktivitātēm.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vērtēta biznesa ideju inovācija un tiek piedāvāts attiecīgs atbalsta aktivitāšu klāsts. Tādējādi pasākuma ietvaros tiek nodrošinātas visiem cilvēkiem jeb biznesa ideju autoriem vienlīdzīgas un godīgas izredzes izmantot pieejamās atbalsta iespējas. Tas ir, ka tiek vērtēts biznesa ideju potenciāls nevis to autoru piederība kādai no sociālajām grupām, piemēram, dzimuma, rases vai etniskās izcelsmes, reliģijas vai pārliecības, invaliditātes, vecuma vai seksuālās orientācijas.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horizontālo principu “Vienlīdzība, iekļaušana, nediskriminācija un pamattiesību ievērošana”.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īstenošanā tiks ievēroti vispārīgi nosacījumi, kas netieši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projekta personāla atlasē netiks pieļauta diskriminācija rases, etniskās izcelsmes, dzimuma, vecuma, invaliditātes, reliģiskās piederības, seksuālās orientācijas vai citiem apstākļiem. Vienlaikus visiem darbiniekiem ar invaliditāti ir jānodrošina vienlīdzīgas iespējas, tostarp nodrošinot piekļūstamību, pielāgojot darba vietu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Publiskie iepirkumi, kur tas ir attiecināms un atbilst ieguldījumu saturam, tiks veikti sociāli atbildīgā veidā - pērkot ētiski ražotus produktus un pakalpojumus un izmantojot publiskās iepirkumu procedūras, lai radītu darbvietas, pienācīgus darba apstākļus, sekmētu sociālo un profesionālo iekļautību, kā arī veicinātu labākus darba nosacījumus cilvēkiem ar invaliditāti un nelabvēlīgā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informācijas un publicitātes pasākumu nodrošināšanā tiks ievēroti nediskriminācijas principi, nepieļaujot stereotipu veidošanos par kādu no dzimumiem, personām ar invaliditāti, reliģisko pārliecību, vecumu, rasi un etnisko izcelsmi vai seksuālo orientāciju. Informācijas un publicitātes pasākumu nodrošināšana ir saskaņā ar saistošo normatīvo aktu un citu dokumentu noteiktajām prasībām, tostarp nodrošinot, ka informācijas saturs ir piekļūstams cilvēkiem ar funkcionāliem traucējumiem, izmantojot vairākus sensoros (redze, dzirde, tauste) kanālus.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nebūs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“Nenodarīt būtisku kaitējumu”.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22-TA-2786</w:t>
    </w:r>
    <w:r>
      <w:br/>
    </w:r>
    <w:r w:rsidR="00000000" w:rsidRPr="00000000" w:rsidDel="00000000">
      <w:rPr>
        <w:rtl w:val="0"/>
      </w:rPr>
      <w:t xml:space="preserve">Izdrukāts 29.07.2026. 22.22 - 8.0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22-TA-2786</w:t>
    </w:r>
    <w:r>
      <w:br/>
    </w:r>
    <w:r w:rsidR="00000000" w:rsidRPr="00000000" w:rsidDel="00000000">
      <w:rPr>
        <w:rtl w:val="0"/>
      </w:rPr>
      <w:t xml:space="preserve">Izdrukāts 29.07.2026. 22.22 - 8.0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anotācija_(ex_ante)_22-TA-2786.docx</dc:title>
</cp:coreProperties>
</file>

<file path=docProps/custom.xml><?xml version="1.0" encoding="utf-8"?>
<Properties xmlns="http://schemas.openxmlformats.org/officeDocument/2006/custom-properties" xmlns:vt="http://schemas.openxmlformats.org/officeDocument/2006/docPropsVTypes"/>
</file>