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2021.–2027. gadam 2.1.1. specifiskā atbalsta mērķa "Energoefektivitātes veicināšana un siltumnīcefekta gāzu emisiju samazināšana" 2.1.1.4. pasākuma "Energoefektivitātes paaugstināšana valsts ēkās" īstenošanas noteikumi” un 2.1.1.7. pasākuma "Valsts iestāžu infrastruktūras optimizācija" īstenošanas noteikumi" (turpmāk – noteikumu projekts) izstrādāts, pamatojoties uz Eiropas Savienības fondu 2021. – 2027. gada plānošanas perioda vadības likuma 19. panta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13. punktu, lai veicinātu energoefektivitātes paaugstināšanu ēkās, it īpaši publiskajās ēkās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(turpmāk – Direktīva 2023/1791) 6. panta pirmo daļu dalībvalsts nodrošina, lai katru gadu tiktu renovēti vismaz 3 % kopējās grīdas platības publisko struktūru īpašumā esošajās ēkās, kuras apsilda un/vai dzesē, lai tās tiktu pārveidotas par vismaz gandrīz nulles enerģijas ēkām vai par bezemisiju ēkām. Dalībvalstis var izvēlēties, kuras ēkas iekļaut 3 % renovācijas prasībā, renovējamo ēku izvēlē pienācīgi ņemot vērā izmaksu lietderību un tehnisko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 minēto mērķu sasniegšanu, Ekonomikas ministrija (turpmāk – EM) īsteno 2.1.1.4. pasākumu "Energoefektivitātes paaugstināšana valsts ēkās" (turpmāk – 2.1.1.4. pasākums) un sadarbībā ar Izglītības un zinātnes ministriju (turpmāk - IZM) 2.1.1.7. pasākumu "Valsts iestāžu infrastruktūras optimizācija " (turpmāk – 2.1.1.7. pasākums, abi kopā - pasākumi), kuru mērķis ir fokusēts uz valstij īpašumā un valdījumā esošo ēku energoefektivitātes paaugstināšana, ietverot ēku energosertifikāciju un būvdarbus energoefektivitātes palielināšanai, t.sk., viedās pārvaldības risinājumus, infrastruktūras un tehnoloģisko procesu energoefektivitātes uzlabošanu, t.sk. ar AER, sasniedzot ēku primārās enerģijas ietaupījumu vismaz 30% apmērā un veicinot virzību uz nulles enerģijas ēkām. Savukārt, 2.1.1.7. pasākuma ietvaros attiecīgās darbības iecerēts īstenot reducējot potenciālo finansējuma saņēmēju atbilstoši IZM definētām prioritātēm izglītības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pasākumu realizācijas mērķis ir tuvoties iepriekš minētajās direktīvās Latvijai noteikto saistošo rādītāju sasniegšanai, nodrošinot, ka ēkas, kuras vēlas virzīties uz nulles enerģijas/bezemisiju ēkām saņem atbalstu attiecīgo darbu veikšanai, vienlaikus neierobežojot iespēju arī tām ēkām, kurās praktiski iespējams sasniegt tikai minimālo 30% ietaupījumu, saņemt atbalstu energoefektivitātes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valsts kontroles birojs (turpmāk - BVKB) sagatavo un publisko to centrālās valdības apsildāmo un/vai dzesējamo ēku sarakstu (saskaņā ar Direktīvas 2023/1791 6. panta pirmās daļas prasībām, dalībvalstis minēto sarakstu atjaunina vismaz reizi divos gados), kuru kopējā izmantojamā platība ir lielāka par 250 m</w:t>
      </w:r>
      <w:r w:rsidR="00000000" w:rsidRPr="00000000" w:rsidDel="00000000">
        <w:rPr>
          <w:vertAlign w:val="superscript"/>
          <w:rtl w:val="0"/>
        </w:rPr>
        <w:t xml:space="preserve">2</w:t>
      </w:r>
      <w:r w:rsidR="00000000" w:rsidRPr="00000000" w:rsidDel="00000000">
        <w:rPr>
          <w:rtl w:val="0"/>
        </w:rPr>
        <w:t xml:space="preserve">, izņemot ēkas, uz kurām attiecas izņēmums. Atbilstoši aktuālajiem pieejamiem datiem, 2023. gadā ir uzskaitītas 696 centrālās valdības ēkas ar kopējo platību 1 514 287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2023/1791 6. panta pirmo daļu, dalībvalsts nodrošina, lai katru gadu tiktu renovēti vismaz 3 % kopējās grīdas platības publisko struktūru īpašumā esošajās ēkās, kuras apsilda un/vai dzesē, lai tās tiktu pārveidotas par vismaz gandrīz nulles enerģijas ēkām vai par bezemisiju ēkām. Dalībvalstis var izvēlēties, kuras ēkas iekļaut 3 % renovācijas prasībā, renovējamo ēku izvēlē pienācīgi ņemot vērā izmaksu lietderību un tehnisko iespējamību.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projekta iesniedzējus, atbalstāmās darbības, pieejamo finansējumu un projekta īstenošanas nosacījumus 2.1.1.4. un 2.1.1.7.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 pasākumu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pieejamais finansējums ir līdz 114 746 160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pasākumam plānotais kopējais publiskais finansējums ir 101 696 160 </w:t>
      </w:r>
      <w:r w:rsidR="00000000" w:rsidRPr="00000000" w:rsidDel="00000000">
        <w:rPr>
          <w:i w:val="1"/>
          <w:rtl w:val="0"/>
        </w:rPr>
        <w:t xml:space="preserve">euro </w:t>
      </w:r>
      <w:r w:rsidR="00000000" w:rsidRPr="00000000" w:rsidDel="00000000">
        <w:rPr>
          <w:rtl w:val="0"/>
        </w:rPr>
        <w:t xml:space="preserve">(no tā elastības finansējuma apjoms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valsts budžeta līdzfinansējums – 12 350 931 </w:t>
      </w:r>
      <w:r w:rsidR="00000000" w:rsidRPr="00000000" w:rsidDel="00000000">
        <w:rPr>
          <w:i w:val="1"/>
          <w:rtl w:val="0"/>
        </w:rPr>
        <w:t xml:space="preserve">euro</w:t>
      </w:r>
      <w:r w:rsidR="00000000" w:rsidRPr="00000000" w:rsidDel="00000000">
        <w:rPr>
          <w:rtl w:val="0"/>
        </w:rPr>
        <w:t xml:space="preserve"> un privātais līdzfinansējums* vismaz 2 903 493 euro apmērā (valsts budžeta un privātā līdzfinansējuma elastības finansējuma apjoms – 2 406 008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Vidusposma pārskata ietvaros privātā līdzfinansējuma elastība netiek pārdalīta citu specifisko atbalsta mērķu/pasākumu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 pasākumam plānotais kopējais publiskais finansējums ir 13 050 000 </w:t>
      </w:r>
      <w:r w:rsidR="00000000" w:rsidRPr="00000000" w:rsidDel="00000000">
        <w:rPr>
          <w:i w:val="1"/>
          <w:rtl w:val="0"/>
        </w:rPr>
        <w:t xml:space="preserve">euro </w:t>
      </w:r>
      <w:r w:rsidR="00000000" w:rsidRPr="00000000" w:rsidDel="00000000">
        <w:rPr>
          <w:rtl w:val="0"/>
        </w:rPr>
        <w:t xml:space="preserve">(no tā elastības finansējuma apjoms – 2 058 315 </w:t>
      </w:r>
      <w:r w:rsidR="00000000" w:rsidRPr="00000000" w:rsidDel="00000000">
        <w:rPr>
          <w:i w:val="1"/>
          <w:rtl w:val="0"/>
        </w:rPr>
        <w:t xml:space="preserve">euro</w:t>
      </w:r>
      <w:r w:rsidR="00000000" w:rsidRPr="00000000" w:rsidDel="00000000">
        <w:rPr>
          <w:rtl w:val="0"/>
        </w:rPr>
        <w:t xml:space="preserve">), tajā skaitā Eiropas Reģionālās attīstības fonda finansējums – 11 092 500 </w:t>
      </w:r>
      <w:r w:rsidR="00000000" w:rsidRPr="00000000" w:rsidDel="00000000">
        <w:rPr>
          <w:i w:val="1"/>
          <w:rtl w:val="0"/>
        </w:rPr>
        <w:t xml:space="preserve">euro </w:t>
      </w:r>
      <w:r w:rsidR="00000000" w:rsidRPr="00000000" w:rsidDel="00000000">
        <w:rPr>
          <w:rtl w:val="0"/>
        </w:rPr>
        <w:t xml:space="preserve">(no tā elastības finansējuma apjoms – 1 749 568 </w:t>
      </w:r>
      <w:r w:rsidR="00000000" w:rsidRPr="00000000" w:rsidDel="00000000">
        <w:rPr>
          <w:i w:val="1"/>
          <w:rtl w:val="0"/>
        </w:rPr>
        <w:t xml:space="preserve">euro</w:t>
      </w:r>
      <w:r w:rsidR="00000000" w:rsidRPr="00000000" w:rsidDel="00000000">
        <w:rPr>
          <w:rtl w:val="0"/>
        </w:rPr>
        <w:t xml:space="preserve">) un valsts budžeta finansējums – 1 957 500 </w:t>
      </w:r>
      <w:r w:rsidR="00000000" w:rsidRPr="00000000" w:rsidDel="00000000">
        <w:rPr>
          <w:i w:val="1"/>
          <w:rtl w:val="0"/>
        </w:rPr>
        <w:t xml:space="preserve">euro </w:t>
      </w:r>
      <w:r w:rsidR="00000000" w:rsidRPr="00000000" w:rsidDel="00000000">
        <w:rPr>
          <w:rtl w:val="0"/>
        </w:rPr>
        <w:t xml:space="preserve">(no tā elastības finansējuma apjoms – 308 747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pasākuma ietvaros atbalsts tiek piešķirts centrālās vadības ēku energoefektivitātes veicināšanai valsts īpašumā esošajās ēkās, nespecificējot ēkas pielietojuma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2.1.1.7. pasākumā atbalsts tiek piešķirts IZM izvirzītam prioritāram projektam, kur atbilstoši IZM sniegtam viedoklim projekta iesniedzējs un finansējuma saņēmējs būs Latvijas Universitāte, projektu fokusējot gan uz energoefektivitātes uzlabošanu, gan studiju un pētniecības konsolidāciju vienā akadēmiskajā apmetnē.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pasākumu ietvaros atbalsts tiek piešķirts granta veidā energoefektivitātes paaugstināšanas jeb uzlabošanas pasākumu īstenošanai. Saskaņā ar Energoefektivitātes likumu energoefektivitātes uzlabošanas pasākumi ir tādas darbības, kuru rezultātā tiek panākts pārbaudāms, izmērāms vai aprēķināms energoefektivitātes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pasākumu iznākuma rādītāju sasniegšanu, katram projektam gan 2.1.1.4., gan 2.1.1.7. pasākuma ietvaros ir jāuzrāda plānotais primārās enerģijas ietaupījums pēc projekta īstenošanas, kas ir ne mazāks kā 30% gadā no ēkas energosertifikātā aprēķinātā primārās enerģijas patēriņa pirms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2.1.1.4. pasākumam kopumā ir jāsasniedz šādi mērķi, kuri tiks sasniegti katram atsevišķam projektam paredzot sasniegt konkrētu platību un primārās enerģijas gada patēriņa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atbalstīto valsts ēku platība – vismaz 186 836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enerģijas gada patēriņa samazinājums – vismaz 26 260 MWh/gadā.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2.1.1.7. pasākuma ietvaros atbalstīto ēku platība ir noteikta vismaz 85 136 m</w:t>
      </w:r>
      <w:r w:rsidR="00000000" w:rsidRPr="00000000" w:rsidDel="00000000">
        <w:rPr>
          <w:vertAlign w:val="superscript"/>
          <w:rtl w:val="0"/>
        </w:rPr>
        <w:t xml:space="preserve">2</w:t>
      </w:r>
      <w:r w:rsidR="00000000" w:rsidRPr="00000000" w:rsidDel="00000000">
        <w:rPr>
          <w:rtl w:val="0"/>
        </w:rPr>
        <w:t xml:space="preserve">, bet primārās enerģijas gada patēriņa samazinājums - vismaz 1 620 MWh/gadā, kas attiecīgi tiks sasniegti Latvijas Universitātei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2.1.1.4., 2.1.1.7. un 2.1.1.8. pasākumu ietvaros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atbalstīto valsts ēku platība – vismaz 299 106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enerģijas gada patēriņa samazinājums – vismaz 29 312 MWh/gadā.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attiecīgie pasākumu ietvaros sasniedzamie rādītāji ir noteikti, vadoties no priekšlikumiem Eiropas Savienības kohēzijas politikas programma 2021.–2027. gadam grozījumiem, kas, pamatojoties uz būvniecības cenu izmaiņām, paredz rādītāju samazinājumu. EM informēs Ministru kabinetu par priekšlikumiem rīcībai gadījumā, ja netiks saņemts pozitīvs Eiropas Komisijas lēmums par grozījumiem Eiropas Savienības Kohēzijas politikas programmā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ietvaros sasniegtā kopējā enerģijas galapatēriņa ietaupījuma uzskaiti, tādējādi sekmējot Eiropas Parlamenta un Padomes 2023. gada 13. septembra Direktīvas (ES) Nr. 2023/1791 par energoefektivitāti un ar ko groza Regulu (ES) 2023/955 (pārstrādāta redakcija) 8. pantā "Enerģijas ietaupījuma pienākums" noteiktā pienākuma, kas ir saistošs arī Latvijai, izpildi, kā nacionālais rādītājs noteikts kopējais sasniedzamais enerģijas galapatēriņa ietaupījums, kura sasniedzamā vērtība ir saistīta ar projektos paredzētajām darbībām, t.i. netiek noteikta nacionālā rādītāja sasniedzamā vērtība, jo tā tiks noteikta atbilstoši īstenojamo projektu iesniegumos norādītajām vērtībām, kura sasniedzamā vērtība ir norādāma projekta iesniegumā. Galapatēriņa ietaupījumu aprēķinā ņem vērā 2022. gada 18. oktobra Ministru kabineta noteikumu Nr. 660 “Energoefektivitātes monitoringa noteikumi” nosacījumus. Finansējuma saņēmējs vismaz piecus gadus pēc noslēguma maksājuma veikšanas sadarbības iestādei iesniedz pārskatu par enerģijas patēriņu (tai skaitā enerģijas galapatēriņa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Gandrīz nulles vai bezemisiju ēku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Eiropas Komisiju apstiprinātajā Eiropas Savienības kohēzijas politikas programmas 2021.–2027. gadam (turpmāk- programma), 2.1.1.4. un 2.1.1.7. pasākumi ietverti zem intervences koda "042", nosakot to, ka 2.1.1.4. un 2.1.1.7. pasākumos ietvaros jāīsteno vidēji dziļa renovācija (vismaz 30% ietaupījums kopējai primārai enerģijai). Vienlaikus, programmā iekļauto specifisko atbalsta mērķu rādītāju aprakstā ietverti sasniedzamie rādītāji, kas aprēķināti, balstoties uz 2.1.1.4. un 2.1.1.7. pasākumu sasniedzamo mērķi jeb 30% ietaupījumu kopējai primārai enerģijai. Ņemot vērā iepriekš minēto un šī brīža projektu gatavību, atbalsta programmai tiek piemērots mērķis samazināt primārās enerģijas ietaupījums pēc projekta īstenošanas ne mazāk kā 30% gadā no ēkas energosertifikātā aprēķinātā primārās enerģijas patēriņa pirms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41. punktu, sadarbības iestāde 12 mēnešu laikā no 2.1.1.4. pasākumu atlases pirmās kārtas projekta iesniegumu iesniegšanas beigu datuma izsludina 2.1.1.4. pasākumu atlases otro kārtu par 2.1.1.4. pasākumu ietvaros neizlietoto finansējumu. Otrās atlases kārtas atlases ietvaros tiks piemērots mērķis sasniegt gandrīz nulles emisiju ēkas vai bezemisijas ēkas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2.1.1.4. pasākuma ietvaros ir noteikumu projekta pielikumā minētā valsts pārvaldes iestāde, valsts deleģēto pārvaldes uzdevumu veicošas atvasinātas publiskas persona vai valsts kapitālsabiedrība (iesniedzot projekta iesniegumus par ēku, kurā izvietota tiešās valsts pārvaldes iestāde vai tiešās valsts pārvaldes iestādes padotības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2.1.1.7. pasākuma ietvaros ir noteikts Latvijas Universitāte, atbilstoši IZM sniegtajai informācijai. Norādām, ka IZM finansējuma saņēmēju ir izvēlējusies, veicot investīciju vajadzību aptauju un attiecīgās investīciju vajadzības vērtējot atbilstoši IZM definētiem kritērijiem, proti, projekts fokusēts gan uz energoefektivitātes uzlabošanu, gan studiju un pētniecības konsolidāciju vienā akadēmiskajā apmetnē, kā arī projektam ir augsta gatavība. Pēc attiecīgā izvērtējuma veikšanas IZM ir izvēlējusies Latvijas Universitāti kā projekta iesniedzēju 2.1.1.7.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ir iestāde, kas uztur iepriekš minēto centrālās valdības ēku sarakstu. Centrālās valdības ēku sarakstā ir pieejama informācija par ēkas īpašnieku, lietotāju, ēkas adresi, būves kadastra apzīmējumu, ekspluatācijas uzsākšanas gadu, ēkas kopējo platību un energoefektivitātes novērtējumu. Saraksts ir publiski pieejams BVKB mājas lapā. 2023. gadā ir uzskaitītas 696 centrālās valdības ēkas ar kopējo platību 1 514 287 m</w:t>
      </w:r>
      <w:r w:rsidR="00000000" w:rsidRPr="00000000" w:rsidDel="00000000">
        <w:rPr>
          <w:vertAlign w:val="superscript"/>
          <w:rtl w:val="0"/>
        </w:rPr>
        <w:t xml:space="preserve">2</w:t>
      </w:r>
      <w:r w:rsidR="00000000" w:rsidRPr="00000000" w:rsidDel="00000000">
        <w:rPr>
          <w:rtl w:val="0"/>
        </w:rPr>
        <w:t xml:space="preserve">, savukārt, ņemot vērā, ka informācija par 2023. gadu tika publiskota 2024. gada 31. oktobrī un atbalsta programmas izstrāde tika uzsākta 2024. gada jūnijā, finansējuma sadalījums ir balstīts uz informāciju, kas ir publiskots par 2022. gadu (2022. gadā tika uzskaitītas 594 centrālās valdības ēkas ar kopējo platību 1 288 585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BVKB saraksta par 2022. gadu, EM apkopoja informāciju par tām centrālās valdības ēkām, kuru enerģijas patēriņš šobrīd ir lielāks par 200 kWh/m² gadā, un kuras līdz ar to var uzskatīt par ēkām ar viszemāko energoefektivitāti. EM pieprasīja informāciju par resoru pārziņā esošajām ēkām, tai skaitā informāciju par šo ēku plānotām energoefektivitātes paaugstināšanas pasākumiem, projekta izmaksām un primāras enerģijas ietaupījumu. Pamatojoties uz iestāžu sniegtajām atbildēm, no saraksta tika izņemta ēkas, kurām mainīts īpašnieks un kuru atjaunošanu ministrija neatbalsta dažādu iemeslu dēļ (nav lietderīgi atjaunot, nav paredzēts turpmāk lietot, plānota nojaukšana,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apkopotajā valsts ēku sarakstā visām iekļautajām ēkām nav veikta ēku energosertifikācija un sagatavota tehniskā dokumentācija, precīzi novērtēt ēkas esošo tehnisko stāvokli un projekta īstenošanai nepieciešamās izmaksas ir neiespējami, līdz ar to šis indikatīvais saraksts tika izmantots, lai noteiktu finansējuma sadalījumu atbilstoši resoram. Pieejamais publiskais finansējums tiek piešķirts attiecīgajam resoram, vadoties no ēku platības, kurās nepieciešams veikt energoefektivitātes darbus. Katra resora pienākums ir veikt ēkas (ēku grupas) identificēšanu, izvērtēšanu un priekšatlasi, lai nodrošinātu to atbilstību pasākuma sasniedzamajiem rādītājiem un nepārsniegtu resora kopējo pieejamo ERAF finansējumu, tādējādi mazinot riskus pasākumu ietvaros noteikto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piešķirts šādām ministrijām: Labklājības, Iekšlietu, Veselības, Finanšu, Zemkopības, Izglītības un zinātnes, kā arī Viedās administrācijas un reģionālās attīstības ministrijai. Katrs resors, identificējot precīzu nepieciešamo valsts līdzfinansējuma apjomu, nāks ar atsevišķu valsts budžeta finanšu līdzekļu pieprasījumu, lai nodrošinātu projektā paredzēto līdzfinansējumu. EM līdz ar šo Ministru kabineta noteikumu izstrādi nevirzīs budžeta līdzfinansējuma pieprasījumu programmā, bet katram resoram, veicot projekta izstrādi, nepieciešams noteikt un attiecīgā kārtībā pieprasīt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piešķirts Latvijas Bankai kā atvasinātai publiskai personai un Latvijas Republikas Saeimai kā Latvijas Republikas parlamentam. Tāpat finansējums tiek piešķirts VAS "Valsts nekustamie īpašumi" un SIA "Tiesu namu aģentūra" (valsts kapitālsabiedrības, kuras saskaņā ar normatīvajos aktos noteikto deleģējumu lieto, pārvalda vai apsaimnieko valsts nekustamos īpašumus), iesniedzot projekta iesniegumus par ēku, kurā izvietota tiešās valsts pārvaldes iestāde vai tiešās valsts pārvaldes iestādes padotības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nozaru vajadzību aptaujas un potenciālo projekta iesniedzēju apzināšanu, tika secināts, ka vairākas no ministrijām jau šobrīd spēj definēt konkrētas padotības iestādes, to projektus un nepieciešamo finansējumu, attiecīgi, vadoties no ministriju vēlmēm, noteikumu projekts paredz ne tikai ministriju finansējuma sadalījumu, bet dažiem no resoriem jau ir iezīmēti arī konkrēti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2.1.1.4. pasākuma ietvaros ir paredzēts speciāls finansējums iekšlietu resoram. Ņemot vērā iekšlietu struktūru faktisko stāvokli, tā iespējas piesaistīt ārvalstu finansējumu ārpus 2.1.1.4. pasākuma, kā arī drošību kā vispārējo valdības prioritāti, VAS “Valsts nekustamie īpašumi” atbilstoši Iekšlietu ministrijas prioritātēm, ir iecerējusi realizēt projektus, tai skaitā energoefektivitātes uzlabošanai, par ēkām Rīgā, Gaujas ielā 15, kad.apz. 01000870149001, un Daugavpils cietoksnī: Daugavpils, 2.Oficieru ielā 1, kad.apz. 05000112021001, un 2.Oficieru ielā 3, kad.apz. 05000112016001. Šim mērķim 2.1.1.4. pasākuma ietvaros plānots piešķirt Eiropas Reģionālās attīstības fonda finansējumu 11 092 500 </w:t>
      </w:r>
      <w:r w:rsidR="00000000" w:rsidRPr="00000000" w:rsidDel="00000000">
        <w:rPr>
          <w:i w:val="1"/>
          <w:rtl w:val="0"/>
        </w:rPr>
        <w:t xml:space="preserve">euro </w:t>
      </w:r>
      <w:r w:rsidR="00000000" w:rsidRPr="00000000" w:rsidDel="00000000">
        <w:rPr>
          <w:rtl w:val="0"/>
        </w:rPr>
        <w:t xml:space="preserve">apmērā: ēkas Rīgā, Gaujas ielā 15 rekonstrukcijai un pielāgošanai Valsts policijas vajadzībām nepieciešami 8 290 856 </w:t>
      </w:r>
      <w:r w:rsidR="00000000" w:rsidRPr="00000000" w:rsidDel="00000000">
        <w:rPr>
          <w:i w:val="1"/>
          <w:rtl w:val="0"/>
        </w:rPr>
        <w:t xml:space="preserve">euro</w:t>
      </w:r>
      <w:r w:rsidR="00000000" w:rsidRPr="00000000" w:rsidDel="00000000">
        <w:rPr>
          <w:rtl w:val="0"/>
        </w:rPr>
        <w:t xml:space="preserve">, ēku Daugavpils cietoksnī rekonstrukcijai un pielāgošanai Valsts policijas vajadzībām nepieciešami 2 801 644 </w:t>
      </w:r>
      <w:r w:rsidR="00000000" w:rsidRPr="00000000" w:rsidDel="00000000">
        <w:rPr>
          <w:i w:val="1"/>
          <w:rtl w:val="0"/>
        </w:rPr>
        <w:t xml:space="preserve">euro</w:t>
      </w:r>
      <w:r w:rsidR="00000000" w:rsidRPr="00000000" w:rsidDel="00000000">
        <w:rPr>
          <w:rtl w:val="0"/>
        </w:rPr>
        <w:t xml:space="preserve">. Pārējo finansējumu plānots piesaistīt ar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(finansējuma sadalījums) attiecīgi nodalīts VAS “Valsts nekustamie īpašumi” finansējums ēku ar viszemāko energoefektivitāti atjaunošanai un finansējums iepriekš minēto ēku Rīgā, Gaujas ielā 15 un Daugavpils cietoksnī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sadarbībā ar VAS “Valsts nekustamie īpašumi” iesniegs Ministru kabinetā atsevišķu informatīvo ziņojumu par ēku Rīgā, Gaujas ielā 15 un Daugavpils cietoksnī turpmāku attīstību, norādot projektu mērogus, nepieciešamo finansējumu un avotus, ietekmi uz vispārējās valdības budžeta bilanci, kā arī turpmākās attīstības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un VAS “Valsts nekustamie īpašumi” piedāvātam finansējuma modelim, attiecīgajiem projektiem Rīgā, Gaujas ielā 15 un Daugavpils cietoksnī nav nepieciešams valsts budžeta līdzfinansējums un minētajiem projektiem līdzfinansējumu plānots nodrošināt no VAS “Valsts nekustamie īpašumi” aizņēmuma, ņemot vērā, ka valsts akciju sabiedrība “Valsts nekustamie īpašumi” ir klasificēta vispārējās valdības sektorā un ar savu saimniecisko un finanšu darbību Eiropas Kontu sistēmas metodoloģijas izpratnē ietekmē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Rīgā, Gaujas ielā 15 un Daugavpils cietoksnī nodrošinās attiecīgo projektam paredzēto kritēriju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Ēku energoefektivitātes likums neparedz to, ka ēkas energosertifikāta neesamība ēkai padarītu attiecīgo ēku par ekspluatācijā neesošu. Savukārt attiecībā uz ēku energosertifikācijas procesu ir piemērojams Ministru kabineta 2021. gada 8.aprīļa noteikumu Nr. 222 “Ēku energoefektivitātes aprēķina metodes un ēku energosertifikācijas noteikumi” 42.punkts, kas paredz, ka ēkas energosertifikāciju veic saskaņā ar minēto noteikumu 7. pielikumā norādītajiem ēku energoefektivitātes visaptverošajiem standartiem. Tātad tiek izmantoti LVS EN ISO 52000 standartu grupas standarti, kuri ir kā obligāti pielietojamie standarti ēku energosertifikācijas procesā un energoefektivitātes rādītāju aprēķinā. Piemēram, attiecībā uz ēkām, par kuru siltumenerģijas patēriņu nav iegūstami enerģijas patēriņa dati atbilstoši LVS EN ISO 52000-1:2017 3.tabulai iespējams izvēlēties ēku energoefektivitātes apakšveidu “Pielāgots” un atbilstoši tam veikt aprēķinu ēkas energoefektivitātei.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tiks nodrošināta demarkācija ar Darbības programmas "Izaugsme un nodarbinātība" 4.2.1. specifiskā atbalsta mērķa "Veicināt energoefektivitātes paaugstināšanu valsts un dzīvojamās ēkās" 4.2.1.2. pasākuma "Veicināt energoefektivitātes paaugstināšanu valsts ēkās" (ESF 2014. - 2020. gada plānošanas periods), Eiropas Savienības Atveseļošanas un noturības mehānisma plāna 1.2. reformu un investīciju virziena "Energoefektivitātes uzlabošana" 1.2.1.4.i. investīcijas "Energoefektivitātes uzlabošana valsts sektora ēkās, t. sk. vēsturiskajās ēkās",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Eiropas Savienības kohēzijas politikas programmas 2021. – 2027. gadam 2.1.1. specifiskā atbalsta mērķa „Energoefektivitātes veicināšana un siltumnīcefekta gāzu emisiju samazināšana” 2.1.1.8. pasākuma "Energoefektivitāti veicinoši pasākumi kultūras infrastruktūrā" ietvaros atbalstītajiem un plānotajiem atbalstāmajiem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nav paredzēts atbalstīt valsts ēkas, kuras tika atbalstītas 4.2.1.2. pasākuma ietvaros, ēkas, kurās tiek nodrošināta kultūras funkcija (1.2.1.4.i. investīcijas un 2.1.1.8. pasākums), kā arī ēkas, kurās tiek īstenotas profesionālās izglītības iestāžu un koledžu izglītības programmas un kuras tiks atbalstītas 2.1.1.5.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pasākumā un to piesaistes nosacījumi ir uzskaitīti ministru kabineta noteikumos. Par sadarbības partneri var būt valsts kapitālsabiedrība, kura saskaņā ar normatīvajos aktos noteikto deleģējumu vai atbilstoši noslēgtajam sadarbības līgumam lieto, pārvalda vai apsaimnieko valsts nekustamos īpašumus, vai tiešās valsts pārvaldes iestādes padotības iestāde. Sadarbības līgums nav slēdzams gadījumā, ja tiešās pārvaldes iestādes pienākums apsaimniekot un pārvaldīt valsts nekustamos īpašumus izriet no jau Ministru kabineta apstiprinātā deleģējuma.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sadarbības partnera loma konkrētā projektā var būt atšķirīga, attiecīgi nav iespējams sadarbības partnerim definēt universālu prasību kopu, kas atbilstu visiem sadarbības partneriem. It īpaši ņemot vērā faktu, ka valsts kapitālsabiedrības, kuras saskaņā ar normatīvajos aktos noteikto deleģējumu vai atbilstoši noslēgtajam sadarbības līgumam pārvalda vai apsaimnieko nekustami īpašumu kā nekustamo īpašumu apsaimniekotājs piedāvā plāšu pakalpojumu klāstu, savukārt padotības iestāde, kuru iespējams piesaistīt kā sadarbības partneri vairumā gadījumu nodrošinās tikai konkrētas sadarbības partnera funkcijas un pienākumus, pārējo pakalpojumu klāstu iepērkot. Attiecīgi Ekonomikas ministrijas ieskatā ir svarīgi, lai konkrētie pienākumi, tiesības un saistības tiktu precīzi definēti starp finansējuma saņēmēju un sadarbības partneri, taču nav nepieciešams ieviest vienotu praksi visiem. Vienlaikus skaidrojam, ka atbilstoši konkrētai situācijai un darbu dalījumam, sadarbības partneris var projekta ietvaros slēgt preču piegādes un vai pakalpojumu sniegšanas līgumus, veikt to izpildes kontroli un izmaksas attaisnojošās dokumentācijas pārbaudi, taču minētais nosacījums nav obligāts un būtu atrunājams finansējuma saņēmēja un sadarbības partneru savstarpējā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projekta iesniedzējs pirms projekta iesniegšanas sadarbības iestādē izstrādā sadarbības līguma projektu par projektā sadarbības partnerim plānoto darbību īstenošanu. Ministru kabineta noteikumos norādītas minimālās prasības sadarbības līgumā iekļaujamai informācijai. Sadarbības līguma projekts ir projekta iesnieguma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noteikumu projekts neierobežo pakalpojuma līgumu slēgšanu attiecīgajā jomā kompetento darbinieku piesaisti projekta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tiek atbalstīta ēku energoefektivitātes paaugstināšana, tajā skaitā būvdarbu veikšana ēku norobežojošajās konstrukcijās, ēku inženiertīklu atjaunošana, pārbūve vai ierīkošana, un atjaunojamo energoresursu izmantojošu siltumenerģijas ražošanas un ūdens sildīšanas avotu iegāde un ierīkošana,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tiešās attiecināmās izmaksas, kas ir tieši saistītas ar pasākuma mērķa un uzraudzības rādītāju sasniegšanu un būtiskākās izmaksu pozīcijas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būvuzraudzības un autoruzraudzības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izmaksas, kas paredzētas ēkas energosertifikātā energoefektivitātes paaugstināšanas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piekļūstamības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izmaksas, kas saistītas ar būves pieņemšanu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atjaunojamos energoresursus izmantojošu siltumenerģijas ražošanas avotu iegāde un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ēku un inženiertehnisko sistēmu automatizētās vadības un kontroles sistēmu ierīkošana;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rezultātu nodrošināšanai nepieciešamo elektroenerģijas un siltumenerģijas skaitītāju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projekta darbībām tieši saistīto komunikācijas un vizuālās identitātes pasākumu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siltumenerģijas ražošanas avotu izmantošanas prioritārās kārtības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Kopīgo noteikumu regulas Nr. 2021/1060 64. panta 1. punkta “c” apakšpunktā ietvertajiem nosacījumiem, ja tas nav atgūstams atbilstoši normatīvajiem aktiem par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papildus ir attiecināmas netiešās izmaksas 7% apmērā no projekta tiešajām izmaksām, ko plāno kā vienu izmaksu pozīciju. Ņemot vērā faktu, ka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precīzāk tās 54. pants paredz šādu iespēju un jau iepriekš ir devis konkrēto maksimālo netiešo izmaksu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radušās sadārdzinājuma izmaksas tiek segtas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kārtas ietvaros radušās izmaksas ir attiecināmas, ja tās atbilst šajos noteikumos minētajām izmaksu pozīcijām, tās ir radušās ne agrāk par 2024. gada 1. janvāri un ir tieši saistītas ar projekta ietvaros veiktajām darbībām, ir izmērāmas, samērīgas, pamatotas ar izdevumus apliecinošiem dokumentiem. Projekta iesniegumā neiekļauj un finansējumu nepiešķir pabeigtām darbībām un objektiem, kas ir nodoti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izstrādātām vadlīnijām attiecināmo izmaksu noteikšanai Eiropas Savienības Kohēzijas politikas programmas 2021.-2027. gada plānošanas periodā minētam, ja personāla izmaksas tiek attiecinātas pēc faktiskajām izmaksām, Eiropas Reģionālā attīstības fonda, Kohēzijas fonda, Taisnīgas pārkārtošanās fonds līdzfinansētajiem projektiem tiek noteikts maksimālais ierobežojums tiešajām projekta vadības personāla izmaksām līdz fiksētajai summai. Attiecīgi projektiem ar tiešajām attiecināmajām izmaksām virs 5 milj. </w:t>
      </w:r>
      <w:r w:rsidR="00000000" w:rsidRPr="00000000" w:rsidDel="00000000">
        <w:rPr>
          <w:i w:val="1"/>
          <w:rtl w:val="0"/>
        </w:rPr>
        <w:t xml:space="preserve">euro </w:t>
      </w:r>
      <w:r w:rsidR="00000000" w:rsidRPr="00000000" w:rsidDel="00000000">
        <w:rPr>
          <w:rtl w:val="0"/>
        </w:rPr>
        <w:t xml:space="preserve">personāla izmaksu Eiropas Savienības fondu daļas ierobežojums tiek noteikts kā fiksēta summa līdz 84 787 </w:t>
      </w:r>
      <w:r w:rsidR="00000000" w:rsidRPr="00000000" w:rsidDel="00000000">
        <w:rPr>
          <w:i w:val="1"/>
          <w:rtl w:val="0"/>
        </w:rPr>
        <w:t xml:space="preserve">euro </w:t>
      </w:r>
      <w:r w:rsidR="00000000" w:rsidRPr="00000000" w:rsidDel="00000000">
        <w:rPr>
          <w:rtl w:val="0"/>
        </w:rPr>
        <w:t xml:space="preserve">kalendārajā gadā. Savukārt projektos, kuros tiešās attiecināmās izmaksas ir līdz 5 milj. </w:t>
      </w:r>
      <w:r w:rsidR="00000000" w:rsidRPr="00000000" w:rsidDel="00000000">
        <w:rPr>
          <w:i w:val="1"/>
          <w:rtl w:val="0"/>
        </w:rPr>
        <w:t xml:space="preserve">euro </w:t>
      </w:r>
      <w:r w:rsidR="00000000" w:rsidRPr="00000000" w:rsidDel="00000000">
        <w:rPr>
          <w:rtl w:val="0"/>
        </w:rPr>
        <w:t xml:space="preserve">(ieskaitot), ierobežojums tiek aprēķināts pie minimālo izmaksu bāzes 34 422 </w:t>
      </w:r>
      <w:r w:rsidR="00000000" w:rsidRPr="00000000" w:rsidDel="00000000">
        <w:rPr>
          <w:i w:val="1"/>
          <w:rtl w:val="0"/>
        </w:rPr>
        <w:t xml:space="preserve">euro </w:t>
      </w:r>
      <w:r w:rsidR="00000000" w:rsidRPr="00000000" w:rsidDel="00000000">
        <w:rPr>
          <w:rtl w:val="0"/>
        </w:rPr>
        <w:t xml:space="preserve">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kārtas ietvaros finansējuma saņēmējs no savā rīcībā esošajiem līdzekļiem 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izmaksas, kas pārsniedz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kas pārsniedz personāla izmaksu un fasādes būvdarbu izmaksu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nodokļi un nodevu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izmaksas, kas radušās pirms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izmaksas, kas radušās saistībā ar saimniecisko darbību, kas nav uzskatāma par papildpakalpojumu;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izmaksas, kas nav projekta tiešās attiecināmās izmaksas, izņemot netiešās attiecināmās izmaksas, kas ir noteiktas 7% apmērā no projekta kopējām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 saskaņā ar noslēgto vienošanos par projekta īstenošanu, bet ne ilgāk kā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valsts ēku energoefektivitātes programmā, 2.1.1.4. pasākumu ietvaros tiek iestrādāts mehānisms neizmantotā finansējuma automātiskai pārvirzīšanai otrajai projektu iesniegumu atlases kārtai. Proti, lai nodrošinātu N+2 principa ievērošanu, finansējuma piešķiršanu augstas gatavības projektiem un faktisku investīciju veikšanu noteiktā termiņā, Ministru kabineta noteikumos tiek paredzēts vērtēt projektu progresu. Proti, finansējuma saņēmējam ir pienākums 3 mēnešu laikā no sadarbības iestādes lēmuma par projekta iesnieguma apstiprināšanu vai atzinuma par lēmumā noteikto nosacījumu izpildi spēkā stāšanās dienas, izsludināt iepirkumu par būvprojekta izstrādi (tai skaitā, ja tiek plānots apvienotais projektēšanas un būvdarbu iepirkums). 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finansējuma saņēmējam ir pienākums 3 mēnešu laikā pēc projekta iesnieguma apstiprināšanas izsludināt plānoto būvdarbu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minētajā laikā finansējuma saņēmējs nevar demonstrēt attiecīgo progresu, Centrālā finanšu un līgumu aģentūra lauž pušu noslēgto vienošanos un finansējums tiek pārvirzīts 2.1.1.4. pasākuma otrajai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ir 2.1.1.7. pasākums kā arī 2.1.1.4. pasākumu ietvaros noteikumu projekta pielikuma 4. punktā norādītais finansējuma saņēmējs attiecībā uz noteikumu projekta pielikuma 4. punktā norādītajām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Centrālai finanšu un līgumu aģentūrai ir pienākums ne vēlāk kā viena gada laikā pēc no pasākumu atlases pirmās kārtas projekta iesniegumu iesniegšanas beigu datuma izsludināt 2.1.1.4. pasākumu otrās atlases kārtas, kas tiek īstenots atklātas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diena ir diena, kad tiek pieņemts sadarbības iestādes lēmums par projekta iesnieguma apstiprināšanu vai izdots atzinums par lēmumā noteikto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 horizontālo principu prasības (2.1.1.4. un 2.1.1.7. pasākumam būs tieša ietekme uz turpmāk norādītiem horizontāliem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principu “Energoefektivitāte pirmajā vietā” saskaņā ar Eiropas Parlamenta un Padomes 2023. gada 13. septembra Direktīvu (ES) 2023/1791 par energoefektivitāti un ar ko groza regulu (ES) 2023/955 (pārstrādāta redakcija) un Komisijas 2024. gada 29. jūlija Ieteikumam 2024/2143 ar ko nosaka vadlīnijas Eiropas Parlamenta un Padomes Direktīvas (ES) 2023/1791 3. panta interpretācijai attiecībā uz principu “energoefektivitāte pirmajā vietā”. Princips "Energoefektivitāte pirmajā vietā" jāievēro visiem 2.1.1.4. un 2.1.1.7. pasākuma īstenojamiem projektiem, t.i. visiem projektiem jānodrošina kopējās primārās enerģijas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horizontālo principu “Energoefektivitāte pirmajā vietā” tiks veikti pasākumi energoefektivitātes paaugstināšanai – šo noteikumu pielikumā noteikto finansējuma saņēmēju īpašumā, lietošanā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atjaunīgiem energoresursiem, sasniedzot ēku primārās enerģijas ietaupījumu 30% apmērā un veicinot virzību uz nulles enerģijas ēkām. Minēto pasākumu īstenošanā obligāti jāuzskaita enerģijas vai energoresursu izmantošanas samazinājums un par to jāziņo;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principu "Klimatdrošināšana" (saskaņā ar Eiropas Komisijas 2021. gada 29. jūlija paziņojumu par sagatavotajiem tehniskajiem norādījumiem par infrastruktūras klimatdrošināšanu 2021.–2027.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principu ievērošana noteikta pamatojoties uz EK rekomendācijām “Tehniskie norādījumi par infrastruktūras klimatdrošināšanu 2021.–2027. gada periodā" un MK 2023. gada 26. janvārī apstiprināto metodiku “Eiropas Reģionālās attīstības fonda, Eiropas Sociālā fonda plus, Kohēzijas fonda un Taisnīgas pārkārtošanās fonda projektu iesniegumu atlases metodika 2021.–2027. gadam”, kuras ietvaros noteikts, ka ir nepieciešams horizontālā principa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2023. gada 26. janvārī apstiprinātās metodikas “Eiropas Reģionālās attīstības fonda, Eiropas Sociālā fonda plus, Kohēzijas fonda un Taisnīgas pārkārtošanās fonda projektu iesniegumu atlases metodika 2021.–2027. gadam” 109. punkts nosaka, ka MK noteikumos par SAM īstenošanu jāietver prasības, kas veicina SEG emisiju samazināšanu, CO2 piesaistes palielināšanu vai pielāgošanos klimata pārmaiņām, piemēram, nosakot tehniskos parametrus kā ēkas energoefektivitātes līmenis, lietderības koeficients, ierobežojumus kādām darbībām, teritorijām, būvju veidiem u.tml., nolikumā noteikt attiecīgus papildus iesniedzamos dokumentus, kā piemēram, energosertifikāts, iekārtu specifikācijas, plūdu kartes, krasta erozijas novērtējumu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projektā izveidotā infrastruktūra būs noturīga pret iespējamo klimata ilgtermiņa ietekmi, vienlaikus nodrošinot investīciju projekta īstenotāja skaidrojumu vai novērtējumu par siltumnīcefekta gāzu emisiju samazinājumu un ievainojamības pret klimata pārmaiņām un risku apskatu;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principu "Nenodarīt būtisku kaitējumu" saskaņā ar ​Eiropas Parlamenta un Padomes 2020. gada 18. jūnija Regulas (ES) 2020/852 par regulējuma izveidi ilgtspējīgu ieguldījumu veicināšanai un ar ko groza regulu (ES) 2019/2088, 18. pantu, normatīvajiem aktiem vides jomā un principa “Nenodarīt būtisku kaitējumu” novērtējumu 2.1.1.SAM “Energoefektivitātes veicināšana un siltumnīcefekta gāzu emisiju samazināšana” 2.1.1.4. pasākumam “Energoefektivitātes paaugstināšana valsts ēkās” un 2.1.1.7. pasākumam “Valsts iestāžu infrastruktūras optimizācija”, nodrošinot, ka tiek novērsta vai mazināta pasākumu ietvaros atbalstāmo darbību ietekme uz vidi, jo īpaši ievērojot šīs prasības 1) atkritumu rašanās novēršana un pārstrāde, 2) piesārņojuma novēršana un to kontrolei gaisā, ūdenī vai zemē un 3)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paraksta apliecinājumu par interešu konflikta neesību, kā arī projekta īstenošanas laikā nodrošina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komunikācijas un vizuālās identitātes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iepirkumu, kas nepieciešams projekta īstenošanai, veic saskaņā ar normatīvajiem aktiem publisko iepirkumu jomā, t.sk. piemērojot Ministru kabineta 2017. gada 28. marta noteikumos Nr. 180 “Tiešās pārvaldes iestāžu rīkotajos iepirkumos izvirzāmās preču un pakalpojumu energoefektivitātes prasības” noteiktās prasības attiecībā uz preču un pakalpojumu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atsevišķu grāmatvedības uzskaiti par finansējuma izlietojumu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uzkrāj datus par projektā plānotajiem un sasniegtajiem pasākumu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 retāk kā reizi sešos mēnešos ievieto savā tīmekļvietnē (ja tāda ir izveidota) aktuālo informāciju par projekta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noslēguma maksājuma veikšanas katru gadu līdz 31. janvārim iesniedz sadarbības iestādē pārskatu par sasniegtajiem rādītājiem atbilstoši sadarbības iestādes noteiktajai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piecus gadus pēc noslēguma maksājuma veikšanas finansējuma saņēmējs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projektā veiktās investīcijas un radītie pamatlīdzekļi tiek izmantoti projektā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tiek nodrošināta veikto investīciju ilgtspēja un uzturēšana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tiek iegādātas un uzstādītas tādas sadedzināšanas iekārtas (ja attiecināms), kas nodrošina normatīvajos aktos par kārtību, kādā novērš, ierobežo un kontrolē gaisu piesārņojošo vielu emisiju no sadedzināšanas iekārtām, noteikto gaisu piesārņojošo vielu emisijas robežvērtību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glabā projekta dokumentāciju un nodrošina tās pieejamību visā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nodrošina, ka ēkā, pabeidzot projektu, ir uzstādīti un darbojas elektroenerģijas un siltumenerģijas skaitītāji, nodrošinot precīzu saražotās un patērētās enerģijas datu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 – 2027. gada plānošanas periodā, kā arī ievēros Eiropas Savienības kohēzijas politikas programmas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kas ir publiska persona līdz projekta iesniegšanai sadarbības iestādē izstrādās iekšējās kontroles sistēmu atbilstoši Ministru kabineta 2017. gada 17. oktobra noteikumiem Nr. 630 "Noteikumi par iekšējās kontroles sistēmas pamatprasībām korupcijas un interešu konflikta riska novēršanai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cikla garums ir 10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siltumenerģijas ražošanas avotu iegādei, uzstādīšanai un nomaiņai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pasliktināta esošā gaisa kvalitāte, Noteikumu projekts paredz, ka atbalsts siltumenerģijas ražošanas avotu iegādei, uzstādīšanai un nomaiņai tiek sniegts šādā prioritārā kārtībā (mājās, kurām ir iespēja vai nepieciešamība izvēlēties starp pieslēgumu centralizētai siltumapgādei vai pašām uzstādīt savus apkures katlus vai citu tehnoloģiju, kas nodrošinās mājas siltumapgādi):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izveidošana efektīvai centralizētajai siltumapgādes sistēmai un siltummezgla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efektīvas bezemisiju siltumapgādes tehnoloģijas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ir ēkas, kuras nav pieslēgtas centralizētajai siltumapgādei. Attiecīgi šādas ēkas tiek nodrošinātas ar siltumu no apkures katliem, kas ir uzstādīti pašā ēkā. Līdz ar to, lai pilnvērtīgi sasniegtu energoefektivitātes mērķus, nepieciešamības gadījumā ir jānodrošina ne tikai ēkas (būves) energoefektivitātes uzlabošana, bet arī apkures katlu energoefektivitātes uzlabošana. Jo apkures katlu energoefektivitāte šādos gadījumos ir tieši saistīta ar paša ēkas energoefektivitāti. Faktiski apkures katls ir daļa no ēkas un attiecīgi arī tieši ietekmē ēkā saražoto un patērēto siltumu.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Neatkarīgs eksperts ēku energoefektivitātes jomā vai sertificēts būvspeciālists "Siltumapgādes, ventilācijas un gaisa kondicionēšanas sistēmu projektēšanā" sagatavo siltumenerģijas ražošanas avotu izmantošanas prioritārās kārtības izvērtējumu, ņemot vērā tehniskās iespējas, juridiskos šķēršļus un ekonomisko pamatotību ieviest izvēlēto risinājumu. Siltumenerģijas ražošanas avotu izmantošanas prioritārās kārtības izvērtējums ir skaidrojošs apraksts, kas tiek pievienots projekta pieteikumam.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sagatavošanā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izvērtētas tehniskās iespējas pieslēgties primāri pie centralizētās siltumapgādes sistēmas. Ja tas tehniski nav iespējams, tad uzstādīt siltumsūkņus vai citas ne-emisiju AER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izvērtēta ekonomiskā pamatotība - vērtējot konkrētā risinājuma potenciālās ieviešanas, kā arī lietošanas izmaksas, par ekonomiski nepamatotu risinājumu uzskatāms tāds risinājums, kas ir vismaz par 20 % dārgāks par citu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izvērtēti juridiskie šķēršļi konkrētā risinājuma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nekvalificējas kā komercdarbības atbalsts, ja tā ietvaros tiek atbalstītas ēkas, kurās tiek veiktas valsts deleģētās funkcijas vai valsts augstskolu pamatdarbība, un ēkas, kurās amortizācijas periodā veic papildinošu saimniecisko darbību ikgadēji ierobežotā apmērā, proti, kopumā nepārsniedz 20 procentus no ēkas kopējās gada jaudas (platības, laika vai finanšu izteiksmē). Saskaņā ar šobrīd esošo Eiropas Savienības tiesas praksi papildinošās saimnieciskās darbības ierobežojums pasākumu ietvaros ir noteikts 20%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kurās papildinošās saimnieciskās darbības apmērs pārsniedz 20% vai ēkā tiek veikta cita veida saimnieciskā darbība, uz atbalstu pasākumu ietvaros nevar pretendēt.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ar saimniecisko darbību nesaistītā projekta ēkā vai ēkas daļā ir pieļaujama papildpakalpojumu sniegšana. Par parastajiem papildpakalpojumiem uzskata ēdināšanas pakalpojumu sniegšanu galvenokārt ēkā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vai sadarbības partneris visā projekta dzīves ciklā sagatavo ikgadējus pārskatus par papildinošās saimnieciskās darbības un parasto papildpakalpojumu apjomu un nodrošina minēto pārskatu un aprēķinus pamatojošo dokumentu pieejamību papildinošās saimnieciskās darbības un parasto papildpakalpojumu uzraudzībai. Sadarbības iestādei ir tiesības finansējuma saņēmējam pieprasīt iesniegt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kompetentām iestādēm vai no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izstrādā papildinošās saimnieciskās darbības un parasto papildpakalpojumu uzraudzības metodiku līdz projektu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 pasākumu, atbilstoši Latvijas Universitātes sniegtajai informācijai, secināms, ka pasākums nav kvalificējams kā komercdarbības atbalsts un uz to nav attiecināms komercdarbības atbalsta regulējums. Norādām, ka 2.1.1.7. pasākuma ietvaros ir iespējama papildinoša saimnieciskā darbība, ievērojot normatīvā regulējumā noteiktos robežlielumus. Visi ienākumi no Latvijas Universitātes īstenotās papildinošās saimnieciskās darbības, tajā skaitā, objektu iznomāšanas tiks novirzīti Latvijas Universitātes nesaimnieciskajai darbībai un īpašumā nodoto nekustamo īpašumu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ir paredzēts infrastruktūrai, kurā tiks nodrošināta gan izglītības funkcija, gan pētniecības funkcija. Attiecībā uz pētniecības funkcijām tiks piemērotas Komisijas paziņojuma Pētniecībai, izstrādei un inovācijai piešķiramā valsts atbalsta nostādnes 2022/C 414/01 20.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aicinās Latvijas Universitāti pēc nepieciešamības sniegt informāciju par papildinošās saimnieciskās darbības proporcijas (20%) ievērošanu, lai Latvijas Universitātes darbība amortizācijas periodā nepārvēršas par saimniecisku darbību, tādējādi nodrošinot komercdarbības atbalsta nosacījumu ievērošanu. Norādām, ka Latvijas valsts augstskolu pamatdarbība līdz šim nav kvalificēta kā saimnieciskā darbība, ko apliecina arī 01.12.2022. Eiropas Komisijas DG Konkurences Valsts atbalsta lietu un politikas A3 nodaļas sniegtās atbildes uz IZM uzdotajiem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61. punktā noteiktajam, ka pirms projekta iesnieguma apstiprināšanas 2.1.1.7. pasākuma ietvaros sadarbības iestāde izvērtē, vai konkrētā Latvijas universitātes ieņēmumi nepārsniedz 50 procentus no izdevumiem gada ietvaros, vērtējot finanšu datus par iestādes izglītības pakalpojumu sniegšanu, lai secinātu, ka atbalsts netiek sniegts saimnieciskai darbībai, kas varētu kvalificēties kā komercdarbības atbalsts. Gadījumā, ja ieņēmumi no izglītības pakalpojuma sniegšanas pārsniedz 50% no izdevumiem gada ietvaros, projekta iesniegums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pasākumu ietvaros atbalstītās ēkās daļā, kas attiecināma uz ar saimniecisko darbību nesaistīto ēkā vai ēkas daļā ir pieļaujama papildpakalpojumu sniegšana. Papildpakalpojumu iespējams sniegt bez nozaru ierobežojuma, vadoties no attiecīgās ēkas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2.1.1.4. ietvaros plānotās atbalstāmās darbības atbilst ES kohēzijas politikas programmas 2021. –2027. gadam prioritātes Nr.2.1. „Klimata pārmaiņu mazināšana un pielāgošanās klimata pārmaiņām” noteiktajiem intervences kodiem: Nr.45 „Publiskās infrastruktūras atjaunošana energoefektivitātes uzlabošanai vai energoefektivitātes pasākumi, demonstrējuma projekti un atbalsta pasākumi, kas atbilst energoefektivitātes kritērijiem” (ERAF finansējums 86 441 736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2.1.1.7. ietvaros plānotās atbalstāmās darbības atbilst ES kohēzijas politikas programmas 2021. –2027. gadam prioritātes Nr.2.1. „Klimata pārmaiņu mazināšana un pielāgošanās klimata pārmaiņām” noteiktajiem intervences kodiem: Nr.44 „Publiskās infrastruktūras atjaunošana energoefektivitātes uzlabošanai vai energoefektivitātes pasākumi, demonstrējuma projekti un atbalsta pasākumi” (ERAF finansējums 11 092 500 </w:t>
      </w:r>
      <w:r w:rsidR="00000000" w:rsidRPr="00000000" w:rsidDel="00000000">
        <w:rPr>
          <w:i w:val="1"/>
          <w:rtl w:val="0"/>
        </w:rPr>
        <w:t xml:space="preserve">euro</w:t>
      </w:r>
      <w:r w:rsidR="00000000" w:rsidRPr="00000000" w:rsidDel="00000000">
        <w:rPr>
          <w:rtl w:val="0"/>
        </w:rPr>
        <w:t xml:space="preserve">). Pasākumu īstenošanai noteikts intervences kods Nr.52 “Citu atjaunojamo energoresursu enerģija (tostarp ģeotermālā enerģija)” (ERAF finansējums 2.1.1.4. pasākumam 35 496 000 </w:t>
      </w:r>
      <w:r w:rsidR="00000000" w:rsidRPr="00000000" w:rsidDel="00000000">
        <w:rPr>
          <w:i w:val="1"/>
          <w:rtl w:val="0"/>
        </w:rPr>
        <w:t xml:space="preserve">euro </w:t>
      </w:r>
      <w:r w:rsidR="00000000" w:rsidRPr="00000000" w:rsidDel="00000000">
        <w:rPr>
          <w:rtl w:val="0"/>
        </w:rPr>
        <w:t xml:space="preserve">un 2.1.1.7. pasākumam 7 395 000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veikta finansēšana no pasākumiem pieejamā finansējuma, tad netiks ievērota Direktīvas 2023/1791 6. panta 1. punkta prasība katru gadu tiktu renovēti vismaz 3 % kopējās grīdas platības publisko struktūru īpašumā esošajās ēkās, kuras apsilda un/vai dzesē, lai tās tiktu pārveidotas par vismaz gandrīz nulles enerģijas ēkām vai par bezemisiju ēkām.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samērīgums pret ieguvumiem tiks izvērtēts projekta līmenī izmaksu un ieguvumu analīzes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"Tiesu namu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nekustāmie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pildīs atbildīgās iestādes funkcijas, savukārt attiecīgie plānotie projekta iesniedzēji pildīs finansējuma saņēmēju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politika nacionālā līmenī, ko nosaka virkne plānošanas dokumentu: Latvijas stratēģija klimatneitralitātes sasniegšanai līdz 2050. gadam, Latvijas pielāgošanās klimata pārmaiņām plāns laika posmam līdz 2030. gadam, Vides politikas pamatnostādnes 2021. – 2027. gadam, Latvijas Nacionālais enerģētikas un klimata plāns 2021. – 2030. gadam, u.c.). paredz, ka visām nozarēm un visiem pārvaldības līmeņiem ir jāsniedz ieguldījums Latvijas klimata politikas mērķu sasniegšanā, tostarp Latvijas ilgtermiņa mērķa - klimatneitralitātes sasniegšanā 2050. gadā. Piemēram, saskaņā ar Latvijas Nacionālo attīstības plānu 2021.–2027.gadam Latvijai jāsasniedz uzkrātā enerģijas galapatēriņa ietaupījuma mērķis 10 422 GWh apmērā [1]. Pasākumu ietvaros tiks nodrošināta valsts virzība uz klimatneitralitāti un klimata pārmaiņu mazināšanas nacionālo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pasākumu īstenošana rada netiešu pozitīvu ietekmi arī uz būvniecības, būvmateriālu izstrādes sektoru, ņemot vērā pasākumos paredzētās atbalstāmās darbības. Attiecīgi tiks nodrošināts papildus pieprasījums no valsts sektora puses energoefektivitātes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attīstības plāns 2021.–2027. gadam, https://www.mk.gov.lv/lv/media/15162/download?attachment, lpp.66. Apskatīts 17.07.2024.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būvniecības nozarē, jo tiek veicināta ekonomikas attīstība un investīciju nonākšana būvniecībā projektu īstenošanas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maziem un vidējiem uzņēmumiem, jo tiks izmantoti to pakalpojumi projektēšanā un AER izmantojošu enerģiju ražojošu iekārtu iegādē un uzstādīšanā.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tiek veicināta nodarbinātība būvniecībā, pakalpojumu sektorā saistībā ar dažādu iekārtu uzstādīšanu, energosertifikāciju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17 534 236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17 534 236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20 628 515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29 411 769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20 628 515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29 411 769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 pasākuma ietvaros plānotais kopējais attiecināmais finansējums ir 101 696 160 </w:t>
            </w:r>
            <w:r w:rsidR="00000000" w:rsidRPr="00000000" w:rsidDel="00000000">
              <w:rPr>
                <w:sz w:val="24"/>
                <w:i w:val="1"/>
                <w:rtl w:val="0"/>
              </w:rPr>
              <w:t xml:space="preserve">euro </w:t>
            </w:r>
            <w:r w:rsidR="00000000" w:rsidRPr="00000000" w:rsidDel="00000000">
              <w:rPr>
                <w:sz w:val="24"/>
                <w:rtl w:val="0"/>
              </w:rPr>
              <w:t xml:space="preserve">(no tā elastības finansējuma apjoms – 16 040 058 </w:t>
            </w:r>
            <w:r w:rsidR="00000000" w:rsidRPr="00000000" w:rsidDel="00000000">
              <w:rPr>
                <w:sz w:val="24"/>
                <w:i w:val="1"/>
                <w:rtl w:val="0"/>
              </w:rPr>
              <w:t xml:space="preserve">euro</w:t>
            </w:r>
            <w:r w:rsidR="00000000" w:rsidRPr="00000000" w:rsidDel="00000000">
              <w:rPr>
                <w:sz w:val="24"/>
                <w:rtl w:val="0"/>
              </w:rPr>
              <w:t xml:space="preserve">), tai skaitā Eiropas Reģionālās attīstības fonda finansējums 86 441 736 </w:t>
            </w:r>
            <w:r w:rsidR="00000000" w:rsidRPr="00000000" w:rsidDel="00000000">
              <w:rPr>
                <w:sz w:val="24"/>
                <w:i w:val="1"/>
                <w:rtl w:val="0"/>
              </w:rPr>
              <w:t xml:space="preserve">euro </w:t>
            </w:r>
            <w:r w:rsidR="00000000" w:rsidRPr="00000000" w:rsidDel="00000000">
              <w:rPr>
                <w:sz w:val="24"/>
                <w:rtl w:val="0"/>
              </w:rPr>
              <w:t xml:space="preserve">(no tā elastības finansējuma apjoms – 13 634 050 </w:t>
            </w:r>
            <w:r w:rsidR="00000000" w:rsidRPr="00000000" w:rsidDel="00000000">
              <w:rPr>
                <w:sz w:val="24"/>
                <w:i w:val="1"/>
                <w:rtl w:val="0"/>
              </w:rPr>
              <w:t xml:space="preserve">euro</w:t>
            </w:r>
            <w:r w:rsidR="00000000" w:rsidRPr="00000000" w:rsidDel="00000000">
              <w:rPr>
                <w:sz w:val="24"/>
                <w:rtl w:val="0"/>
              </w:rPr>
              <w:t xml:space="preserve">), valsts budžeta līdzfinansējums – 12 350 931 </w:t>
            </w:r>
            <w:r w:rsidR="00000000" w:rsidRPr="00000000" w:rsidDel="00000000">
              <w:rPr>
                <w:sz w:val="24"/>
                <w:i w:val="1"/>
                <w:rtl w:val="0"/>
              </w:rPr>
              <w:t xml:space="preserve">euro </w:t>
            </w:r>
            <w:r w:rsidR="00000000" w:rsidRPr="00000000" w:rsidDel="00000000">
              <w:rPr>
                <w:sz w:val="24"/>
                <w:rtl w:val="0"/>
              </w:rPr>
              <w:t xml:space="preserve">un privātais līdzfinansējums* vismaz 2 903 493 euro apmērā (valsts budžeta un privātā līdzfinansējuma elastības finansējuma apjoms – 2 406 008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Vidusposma pārskata ietvaros privātā līdzfinansējuma elastība netiek pārdalīta citu specifisko atbalsta mērķu/pasākumu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2.1.1.7. pasākumam plānotais kopējais publiskais finansējums ir 13 050 000 </w:t>
            </w:r>
            <w:r w:rsidR="00000000" w:rsidRPr="00000000" w:rsidDel="00000000">
              <w:rPr>
                <w:sz w:val="24"/>
                <w:i w:val="1"/>
                <w:rtl w:val="0"/>
              </w:rPr>
              <w:t xml:space="preserve">euro </w:t>
            </w:r>
            <w:r w:rsidR="00000000" w:rsidRPr="00000000" w:rsidDel="00000000">
              <w:rPr>
                <w:sz w:val="24"/>
                <w:rtl w:val="0"/>
              </w:rPr>
              <w:t xml:space="preserve">(no tā elastības finansējuma apjoms – 2 058 315 </w:t>
            </w:r>
            <w:r w:rsidR="00000000" w:rsidRPr="00000000" w:rsidDel="00000000">
              <w:rPr>
                <w:sz w:val="24"/>
                <w:i w:val="1"/>
                <w:rtl w:val="0"/>
              </w:rPr>
              <w:t xml:space="preserve">euro</w:t>
            </w:r>
            <w:r w:rsidR="00000000" w:rsidRPr="00000000" w:rsidDel="00000000">
              <w:rPr>
                <w:sz w:val="24"/>
                <w:rtl w:val="0"/>
              </w:rPr>
              <w:t xml:space="preserve">), tajā skaitā Eiropas Reģionālās attīstības fonda finansējums – 11 092 500 </w:t>
            </w:r>
            <w:r w:rsidR="00000000" w:rsidRPr="00000000" w:rsidDel="00000000">
              <w:rPr>
                <w:sz w:val="24"/>
                <w:i w:val="1"/>
                <w:rtl w:val="0"/>
              </w:rPr>
              <w:t xml:space="preserve">euro </w:t>
            </w:r>
            <w:r w:rsidR="00000000" w:rsidRPr="00000000" w:rsidDel="00000000">
              <w:rPr>
                <w:sz w:val="24"/>
                <w:rtl w:val="0"/>
              </w:rPr>
              <w:t xml:space="preserve">(no tā elastības finansējuma apjoms – 1 749 568 </w:t>
            </w:r>
            <w:r w:rsidR="00000000" w:rsidRPr="00000000" w:rsidDel="00000000">
              <w:rPr>
                <w:sz w:val="24"/>
                <w:i w:val="1"/>
                <w:rtl w:val="0"/>
              </w:rPr>
              <w:t xml:space="preserve">euro</w:t>
            </w:r>
            <w:r w:rsidR="00000000" w:rsidRPr="00000000" w:rsidDel="00000000">
              <w:rPr>
                <w:sz w:val="24"/>
                <w:rtl w:val="0"/>
              </w:rPr>
              <w:t xml:space="preserve">) un valsts budžeta finansējums – 1 957 500 </w:t>
            </w:r>
            <w:r w:rsidR="00000000" w:rsidRPr="00000000" w:rsidDel="00000000">
              <w:rPr>
                <w:sz w:val="24"/>
                <w:i w:val="1"/>
                <w:rtl w:val="0"/>
              </w:rPr>
              <w:t xml:space="preserve">euro </w:t>
            </w:r>
            <w:r w:rsidR="00000000" w:rsidRPr="00000000" w:rsidDel="00000000">
              <w:rPr>
                <w:sz w:val="24"/>
                <w:rtl w:val="0"/>
              </w:rPr>
              <w:t xml:space="preserve">(no tā elastības finansējuma apjoms – 308 747 </w:t>
            </w:r>
            <w:r w:rsidR="00000000" w:rsidRPr="00000000" w:rsidDel="00000000">
              <w:rPr>
                <w:sz w:val="24"/>
                <w:i w:val="1"/>
                <w:rtl w:val="0"/>
              </w:rPr>
              <w:t xml:space="preserve">euro</w:t>
            </w:r>
            <w:r w:rsidR="00000000" w:rsidRPr="00000000" w:rsidDel="00000000">
              <w:rPr>
                <w:sz w:val="24"/>
                <w:rtl w:val="0"/>
              </w:rPr>
              <w:t xml:space="preserve">). 2.1.1.7. pasākumam plānotais budžeta izdevumu sadalījums tiks norādīts Ministru kabineta rīkojumā (sk.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 pasākuma plānotais budžeta izdevumu sadalījums pa gadiem indikatīvi ir šāds (ERAF un valsts budžeta finansējums, bez privātā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16 713 515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31 379 110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24 191 767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26 508 275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2.1.1.7. pasākuma plānotais budžeta izdevumu sadalījums pa gadiem indikatīvi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3 915 000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3 915 000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5 220 000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izmantoto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Eiropas Savienības kohēzijas politikas programmas 2021. – 2027. gadam investīciju plūsmas intensificēšanu Eiropas Komisijai pieprasāmo izdevumu minimālā mērķa izpildei, ar noteikumu projekta protokollēmumu paredzēts noteikt, ka 2025.gadā līdz vienošanās par projekta īstenošanu noslēgšanai ar sadarbības iestādi 2.1.1.4. pasākuma īstenošanas uzsākšanai nepieciešamo finansējumu līdz 18 198 653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finansējums 15 286 733 </w:t>
      </w:r>
      <w:r w:rsidR="00000000" w:rsidRPr="00000000" w:rsidDel="00000000">
        <w:rPr>
          <w:i w:val="1"/>
          <w:rtl w:val="0"/>
        </w:rPr>
        <w:t xml:space="preserve">euro </w:t>
      </w:r>
      <w:r w:rsidR="00000000" w:rsidRPr="00000000" w:rsidDel="00000000">
        <w:rPr>
          <w:rtl w:val="0"/>
        </w:rPr>
        <w:t xml:space="preserve">un valsts budžeta līdzfinansējums 2 911 920 </w:t>
      </w:r>
      <w:r w:rsidR="00000000" w:rsidRPr="00000000" w:rsidDel="00000000">
        <w:rPr>
          <w:i w:val="1"/>
          <w:rtl w:val="0"/>
        </w:rPr>
        <w:t xml:space="preserve">euro</w:t>
      </w:r>
      <w:r w:rsidR="00000000" w:rsidRPr="00000000" w:rsidDel="00000000">
        <w:rPr>
          <w:rtl w:val="0"/>
        </w:rPr>
        <w:t xml:space="preserve">) attiecināmo izmaksu segšanai nodrošina no 80.00.00 programmas normatīvajos aktos noteiktajā kārtībā, lai nodrošinātu 2.1.1.4. pasākuma ietvaros atbalstāmo darbību ātrāku uzsākšanu: energosertifikācijas dokumentācijas un tehniskās apsekošanas atzinuma izstrāde, būvniecības ieceres dokumentācijas un būvprojekta izstrādāšana un ar to saistītās normatīvajos aktos paredzētās būvekspertīzes veikšana, projekta vadības darbību uzsākšana, plānotās iepirkuma dokumentācijas sagatavošana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pasākuma īstenošanas uzsākšanai nepieciešamā finansējuma aprēķinos tika izmantotas indikatīvas 2014.gada izmaksas, ņemot vērā, ka uz noteikumu projekta sagatavošanas dienu nav precīzu datu par plānotajiem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paredzēts tikai valsts budžeta iestādēm, ņemot vērā Finanšu ministrijas SAM vadlīnijās (sam_21-27_vadl_250523.pdf (esfondi.lv) noteiktajam (22.punkts - ja projekta izmaksas paredzēts attiecināt no MK noteikumu spēkā stāšanās dienas vai pirms tam, un finansējuma saņēmējs ir valsts budžeta iestāde, attiecīgi ir nepieciešams MK sēdes protokollēmuma projektā un anotācijā paredzēt finanšu plūsmu pirms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finansējuma saņēmējs (Finanšu ministrija, Iekšlietu ministrija, Izglītības un zinātnes ministrija, Labklājības ministrija, Latvijas Republikas Saeima, Veselības ministrija, Tieslietu ministrija, Viedas administrācijas un reģionālās attīstības ministrija, Zemkopības ministrija) 2.1.1.4.pasākuma ietvaros pats lūgs pārdalīt finansējumu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2.1.1.7.pasākuma ietvaros Izglītības un zinātnes ministrija lūgs pārdalīt finansējumu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Nr. 2024/2509 par finanšu noteikumiem, ko piemēro Savienības vispārējam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18. jūnija Regulas (ES) 2020/852 par regulējuma izveidi ilgtspējīgu ieguldījumu veicināšanai un ar ko groza regulu (ES) 2019/2088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Komisijas 2022. gada 29. oktobra paziņojums 2022/C 414/01 Pētniecībai, izstrādei un inovācijai piešķiramā valsts atbalsta nostādņu (52022XC1028(03)) 20. punktu, kas ir pilnībā pārņemts noteikumu projekta 60.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Nr. 2024/2509 par finanšu noteikumiem, ko piemēro Savienības vispārējam budžetam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18. jūnija Regulas (ES) 2020/852 par regulējuma izveidi ilgtspējīgu ieguldījumu veicināšanai un ar ko groza regulu (ES) 2019/2088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Ekonomikas ministrija,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Latvijas Republikas Saeima, SIA "Tiesu namu aģentūra", VAS "Valsts nekustāmie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https://vktap.mk.gov.lv/public_participations/public_discussions/c6f6cae9-999e-4298-9d77-c87b246a7031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EM kā ES fondu vadībā iesaistītā atbildīgā iestāde savlaicīgi, pirms tiesību akta izsludināšanas starpministriju saskaņošanā, TAP portālā 20.06.2024. uzsāka noteikumu projekta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publiskās apspriešanas procesu (24-TA-1380), kas noslēdzās 05.07.2024.: https://vktap.mk.gov.lv/public_participations/public_discussions/c6f6cae9-999e-4298-9d77-c87b246a7031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saņemti priekšlikums no VSIA "Paula Stradiņa klīniskā universitātes slimnīca" ar lūgumu iekļaut VSIA finansējuma saņēmēju lokā. Priekšlikums netika ņemts vērā, jo kapitālsabiedrības atrodas ārpus 2.1.1.4. un 2.1.1.7. pasākuma tvēruma. Pamatojumu skatīt izziņā.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radīs pozitīvu ietekmi uz Nacionālā attīstības plāna 2021.–2027. gadam rīcības virziena mērķa indikatoru “Uzkrātais (kumulatīvais) gala enerģijas ietaupījumu apjoms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atjaunots valsts ēku fonds visā Latvijas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īstenotājiem jānodrošina, ka projekts izpilda nepieciešamās prasības horizontālā principa “Nenodarīt būtisku kaitējumu” ievērošanai un atbilst Eiropas Savienības Kohēzijas politikas programmas 2021.–2027.gadam noteiktajiem Eiropas Savienības un nacionālajiem normatīvajiem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jāpiemēro zaļā publiskā iepirkuma principi un prasības saskaņā ar Ministru Kabineta 2017. gada 20. jūnija noteikumiem Nr.353 “Prasības zaļajam publiskajam iepirkumam un to piemērošanas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"Klimatdrošināšana", kā arī principu "Nenodarīt būtisku kaitējumu"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tām preču un pakalpojumu grupām, kurām obligāti piemērojams zaļais publiskais iepirkums saskaņā ar MK noteikumiem Nr. 353.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ietekme uz pasākumu ir "tieša". Projektu iesniegumu vērtēšanas kritērijos, kas tiks iekļauti projektu atlases nolikumā ir iekļauts specifiskais atbilstības kritērijs, kura ietvaros 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projektā paredzēts īstenot aktivitātes, kas nodrošina klimata pārmaiņu mazināšanu, tas ir, SEG emisiju samazināšanu vai CO2 piesaisti, noteiktajām prasībām. Piemēram, lai mazinātu SEG – ēkas (būves) pieslēgšana efektīvai centralizētajai siltumapgādes sistēmai, AER tehnoloģiju ieviešana, teritorijas apzaļumošana, "zaļie jumti", "zaļās sienas", citi "zaļie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projektā tiek nodrošināta atbilstība pielāgošanās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nodrošināta atbilstība nacionālajai nozares politikai un ES politikai un tiesiskajam regulējumam, lai nodrošinātu atbilstību cilvēktiesību prasībām,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ņemot vērā, ka ieguldījumi plānoti izglītības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 vides piekļūstamības prasību nodrošināšana (ja, īstenojot energoefektivitātes paaugstināšanas pasākumus tiek skarta ēkas konstrukcija, kurai ir ietekme uz vides piekļūstamību), kas pozitīvi ietekmēs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ievēro horizontālo principu "Vienlīdzība, iekļaušana, nediskriminācija un pamattiesību ievērošana" (turpmāk - HP VINPI) un īsteno vismaz vienu vispārīgo HP VINPI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 HP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ievēro horizontālo principu „Vienlīdzība, iekļaušana, nediskriminācija un pamattiesību ievērošana” un īsteno vismaz vienu vispārīgo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[1] pasākumiem, kuri tiek īstenoti ierobežotā projektu atlasē un kuriem nav ietekmes uz HP VINPI, finansējuma saņēmējam ir jānodrošina vismaz viena vispārīga HP VINPI darbība un HP rādītāji nav jādefinē.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ievēro horizontālo principu „Vienlīdzība, iekļaušana, nediskriminācija un pamattiesību ievērošana” un īsteno vismaz vienu vispārīgo darbību, dati par HP VINPI rādītājiem nav jāuzkrāj.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24-TA-1380</w:t>
    </w:r>
    <w:r>
      <w:br/>
    </w:r>
    <w:r w:rsidR="00000000" w:rsidRPr="00000000" w:rsidDel="00000000">
      <w:rPr>
        <w:rtl w:val="0"/>
      </w:rPr>
      <w:t xml:space="preserve">Izdrukāts 29.07.2026. 22.24 - 7.0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24-TA-1380</w:t>
    </w:r>
    <w:r>
      <w:br/>
    </w:r>
    <w:r w:rsidR="00000000" w:rsidRPr="00000000" w:rsidDel="00000000">
      <w:rPr>
        <w:rtl w:val="0"/>
      </w:rPr>
      <w:t xml:space="preserve">Izdrukāts 29.07.2026. 22.24 - 7.0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anotācija_(ex_ante)_24-TA-1380.docx</dc:title>
</cp:coreProperties>
</file>

<file path=docProps/custom.xml><?xml version="1.0" encoding="utf-8"?>
<Properties xmlns="http://schemas.openxmlformats.org/officeDocument/2006/custom-properties" xmlns:vt="http://schemas.openxmlformats.org/officeDocument/2006/docPropsVTypes"/>
</file>