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2.3.1. specifiskā atbalsta mērķa "Veicināt ilgtspējīgu daudzveidu mobilitāti pilsētās" 2.3.1.3. pasākuma  "Veloinfrastruktūras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2.3.1.specifiskā atbalsta mērķa “Veicināt ilgtspējīgu daudzveidu mobilitāti pilsētās” 2.3.1.3.pasākuma  “Veloinfrastruktūras attīstība” īstenošanas noteikumi” (turpmāk – Noteikumu projekts) izstrādāts, pamatojoties uz Eiropas Savienības fondu 2021.–2027. gada plānošanas perioda vadības likuma 19.panta 6.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noteiktu Eiropas Savienības kohēzijas politikas programmas 2021.–2027.gadam 2.3.1.specifiskā atbalsta mērķa “Veicināt ilgtspējīgu daudzveidu mobilitāti pilsētās” 2.3.1.3.pasākuma  “Veloinfrastruktūras attīstība” (turpmāk – pasākums) īstenošanas nosacījumus un nodrošinātu pasākuma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attīstīt nepārtrauktu maģistrālas velosipēdu ceļu, tostarp kopīgas gājēju un velosipēdu ceļu, infrastruktūras izveidi, veicinot nemotorizēto mobilitāti. Lai nodrošinātu pasākuma mērķa sasniegšanu, tiks veiktas investīcijas velosipēdu ceļu, tostarp kopīgas gājēju un velosipēdu ceļu, infrastruktūrā gar autoceļiem un pašvaldību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pasākuma rādītāju sasniegšanu. Proti, pasākuma ietvaros līdz 2029.gada 31.decembrim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atdalītas jaunizbūvētas vai būtiski uzlabotas veloceļu infrastruktūras garums ir 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atdalītas riteņbraukšanas infrastruktūras lietotāju skaits gadā ir 5 820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25.novembrī Eiropas komisija apstiprināja programmu “Eiropas Savienības kohēzijas politikas programma 2021.–2027.gadam” (turpmāk – programma). Programmas 2.3.prioritātes “Ilgtspējīga mobilitāte” 2.3.1. specifiskā atbalsta mērķa “Veicināt ilgtspējīgu daudzveidu mobilitāti pilsētās” ietvaros paredzēta velosipēdu ceļu, tostarp kopīgas gājēju un velosipēdu ceļu, izbūve gar autoceļiem un pašvaldību teritorijās atbilstoši spēkā esošajiem pašvaldību teritorijas attīstības plānošanas dokumentiem un / vai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jāņem vērā, ka pasākuma ietvaros plānotajiem maršrutiem jāatbilst Satiksmes ministrijas informatīvajā ziņojumā  “Par valsts mikromobilitātes infrastruktūras attīstību” (21-TA-858; izskatīts Ministru kabinetā 15.02.2022.) iekļautajai Valsts mikromobilitātes infrastruktūras attīstības stratēģijai (turpmāk – Mikromobilitātes attīstīstības startēģija).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pieejamajai informācijai (Principa “Nenodarīt būtisku kaitējumu” novērtējums) - ikdienas braucēji (ar velosipēdu brauc katru vai gandrīz katru dienu) ir 6,4%. Turpretī vismaz vienu reizi nedēļā brauc 19,8% Latvijas iedzīvotāji. Esošā velosatiksmes infrastruktūra tiek attīstīta fragmentāri, </w:t>
      </w:r>
      <w:r w:rsidR="00000000" w:rsidRPr="00000000" w:rsidDel="00000000">
        <w:rPr>
          <w:u w:val="single"/>
          <w:rtl w:val="0"/>
        </w:rPr>
        <w:t xml:space="preserve">kā arī nav nodalīta</w:t>
      </w:r>
      <w:r w:rsidR="00000000" w:rsidRPr="00000000" w:rsidDel="00000000">
        <w:rPr>
          <w:rtl w:val="0"/>
        </w:rPr>
        <w:t xml:space="preserve">, līdz ar to ne vienmēr nodrošinot velosipēdistiem ērtu un ātru pārvietošanos, kas ir galvenais motivators, izvēloties transporta veidu. Minētie aspekti neveicina velosatiksmes attīstību, velosipēdistu pieaugumu un integrāciju kopējā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attīstības pamatnostādnēs 2021.–2027.gadam (turpmāk – Transporta pamatnostādnes) ir uzsvērta nepieciešamība nodrošināt velosipēdu satiksmes infrastruktūru kā nepārtrauktu un ar esošo transporta infrastruktūru salāgotu transporta sistēmas daļu (prioritāri teritorijās ar lielāku iedzīvotāju blīvumu), iesaistot visas iesaistītās puses. Pamatnostādnes norāda, ka ir jāveicina iedzīvotāju mikromobilitātes (velosipēdi, skrejriteņi, u.c. rīki, pārvietošanās kājām) īpatsvara pieaugums kopējā mobilitātē. </w:t>
      </w:r>
      <w:r w:rsidR="00000000" w:rsidRPr="00000000" w:rsidDel="00000000">
        <w:rPr>
          <w:b w:val="1"/>
          <w:rtl w:val="0"/>
        </w:rPr>
        <w:t xml:space="preserve">Nomainot ikdienā </w:t>
      </w:r>
      <w:r w:rsidR="00000000" w:rsidRPr="00000000" w:rsidDel="00000000">
        <w:rPr>
          <w:b w:val="1"/>
          <w:u w:val="single"/>
          <w:rtl w:val="0"/>
        </w:rPr>
        <w:t xml:space="preserve">pārvietošanās paradumus no automašīnām (arī no sabiedriskā transporta) uz velosipēdu</w:t>
      </w:r>
      <w:r w:rsidR="00000000" w:rsidRPr="00000000" w:rsidDel="00000000">
        <w:rPr>
          <w:rtl w:val="0"/>
        </w:rPr>
        <w:t xml:space="preserve">, tiek veicināts CO2 emisijas samazinājums un ES SEG emisijas samazināšanas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paredzēta velosipēdu ceļu, tostarp kopīgu gājēju un velosipēdu ceļu, infrastruktūras attīstība, veicinot nemotorizēto mobilitāti. </w:t>
      </w:r>
      <w:r w:rsidR="00000000" w:rsidRPr="00000000" w:rsidDel="00000000">
        <w:rPr>
          <w:b w:val="1"/>
          <w:rtl w:val="0"/>
        </w:rPr>
        <w:t xml:space="preserve">Būtiski uzsvērt infrastruktūras savienojamību</w:t>
      </w:r>
      <w:r w:rsidR="00000000" w:rsidRPr="00000000" w:rsidDel="00000000">
        <w:rPr>
          <w:rtl w:val="0"/>
        </w:rPr>
        <w:t xml:space="preserve">, t.i., velosipēdu ceļi, tostarp kopīgi gājēju un velosipēdu ceļi,  savienos apdzīvotas teritorijas un / vai piekļuvi sabiedriskajam transportam un / vai mobilitātes punktiem, papildinot multimodālo savienojumu sniegtās iespējas. </w:t>
      </w:r>
      <w:r w:rsidR="00000000" w:rsidRPr="00000000" w:rsidDel="00000000">
        <w:rPr>
          <w:b w:val="1"/>
          <w:rtl w:val="0"/>
        </w:rPr>
        <w:t xml:space="preserve">Investīcijas tiks veiktas velosipēdu ceļu</w:t>
      </w:r>
      <w:r w:rsidR="00000000" w:rsidRPr="00000000" w:rsidDel="00000000">
        <w:rPr>
          <w:rtl w:val="0"/>
        </w:rPr>
        <w:t xml:space="preserve">, tostarp kopīgā gājēju un velosipēdu ceļu, </w:t>
      </w:r>
      <w:r w:rsidR="00000000" w:rsidRPr="00000000" w:rsidDel="00000000">
        <w:rPr>
          <w:b w:val="1"/>
          <w:rtl w:val="0"/>
        </w:rPr>
        <w:t xml:space="preserve">infrastruktūrā</w:t>
      </w:r>
      <w:r w:rsidR="00000000" w:rsidRPr="00000000" w:rsidDel="00000000">
        <w:rPr>
          <w:rtl w:val="0"/>
        </w:rPr>
        <w:t xml:space="preserv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ceļu, tostarp kopīgas gājēju un velosipēdu ceļu, infrastruktūras attīstības rezultātā ir sagaidāms, ka palielināsies  velobraucēju skaits. Proti, jaunas velosipēdu ceļu, tostarp kopīgas gājēju un velosipēdu ceļu, infrastruktūras izveidošana stimulēs velosipēda izmantošanu ikdienā, kas ļauj prognozēt velobraucēju skaita pieaugumu. Regulāro velobraucēju skaita pieaugums, t.i., kuri brauc katru vai gandrīz katru dienu, veicina arī SEG emisiju samazinājumu, vienlaikus tam ir būtiska loma sabiedrības sociālajā dzīvē (piem., nodrošināta mobilitāte mājsaimniecībām ar zemākiem ienākumiem, uzlabota sabiedrības veselība un ietaupīti veselības aprūpē nodalīto budžetu resursi, paaugstināta dzīves kvalitāte,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paredzētā projekta īstenošanas vieta ir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sasniedzamais iznākuma rādītājs paredz, ka līdz 2029.gada 31.decembrim </w:t>
      </w:r>
      <w:r w:rsidR="00000000" w:rsidRPr="00000000" w:rsidDel="00000000">
        <w:rPr>
          <w:b w:val="1"/>
          <w:rtl w:val="0"/>
        </w:rPr>
        <w:t xml:space="preserve">atdalītas</w:t>
      </w:r>
      <w:r w:rsidR="00000000" w:rsidRPr="00000000" w:rsidDel="00000000">
        <w:rPr>
          <w:rtl w:val="0"/>
        </w:rPr>
        <w:t xml:space="preserve">* jaunizbūvētas vai būtiski uzlabotas veloceļu infrastruktūras garums ir 60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*Velosipēdu ceļu, tostarp kopīga gājēju un velosipēdu ceļu, infrastruktūra tiek uzskatīta kā atdalīta, ja tā no autrotransporta satiksmes atdalīta saskaņā ar kārtību par ceļu satiksmes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kvantitatīvā rādītāja sasniegšanu tiek attiecināta pasākuma projekta ietvaros no jauna izbūvēta, pārbūvēta, pilnveidota un atjaunota velosipēdu ceļu, tostarp kopīga gājēju un velosipēdu ceļu, infrastruktūra, kā arī esošo ielu, ceļu/ gājēju ceļu pielāgošana velosipēdu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Izbūve</w:t>
      </w:r>
      <w:r w:rsidR="00000000" w:rsidRPr="00000000" w:rsidDel="00000000">
        <w:rPr>
          <w:rtl w:val="0"/>
        </w:rPr>
        <w:t xml:space="preserve"> atbilst būvdarbu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 būvniecības procesa sastāvdaļa, darbi, kurus veic būvlaukumā vai būvē, lai radītu būvi, [..], pārbūvētu, atjaunotu, restaurētu, iekonservētu, nojauktu būvi vai ierīkotu inženiertīklu.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Pārbūve</w:t>
      </w:r>
      <w:r w:rsidR="00000000" w:rsidRPr="00000000" w:rsidDel="00000000">
        <w:rPr>
          <w:rtl w:val="0"/>
        </w:rPr>
        <w:t xml:space="preserve"> atbilst būves pārbūves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pārbūve — būvdarbi, kuru rezultātā ir mainīts būves vai tās daļas apjoms vai pastiprināti nesošie elementi vai konstrukcijas, mainot vai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Atjaunošana</w:t>
      </w:r>
      <w:r w:rsidR="00000000" w:rsidRPr="00000000" w:rsidDel="00000000">
        <w:rPr>
          <w:rtl w:val="0"/>
        </w:rPr>
        <w:t xml:space="preserve"> atbilst būves atjaunošanas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atjaunošana — būvdarbi, kuru rezultātā ir nomainīti nolietojušies būves nesošie elementi vai konstrukcijas vai veikti funkcionāli vai tehniski uzlabojumi, nemainot būves apjomu vai nesošo elementu nestspēju.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Pilnveide</w:t>
      </w:r>
      <w:r w:rsidR="00000000" w:rsidRPr="00000000" w:rsidDel="00000000">
        <w:rPr>
          <w:rtl w:val="0"/>
        </w:rPr>
        <w:t xml:space="preserve"> ir esošās velosipēdu ceļu, tostarp kopīgas gājēju un velosipēdu ceļu, infrastruktūras pilnveidošana, lai nodrošinātu pilnvērtīgu velosipēdu ceļa, tostarp kopīgas gājēju un velosipēdu ceļa,  funkcionalitāti, kā arī drošības uzlabošanu velotransporta lietotājiem. Piemēram, luksoforu, apgaismojuma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Pielāgošana</w:t>
      </w:r>
      <w:r w:rsidR="00000000" w:rsidRPr="00000000" w:rsidDel="00000000">
        <w:rPr>
          <w:rtl w:val="0"/>
        </w:rPr>
        <w:t xml:space="preserve"> ir esošo ielu, ceļu/ gājēju ceļu (ietvju) pielāgošana velotransporta izmantošanai. Piemēram, velojoslas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Atdalītā  velosipēdu infrastruktūra</w:t>
      </w:r>
      <w:r w:rsidR="00000000" w:rsidRPr="00000000" w:rsidDel="00000000">
        <w:rPr>
          <w:rtl w:val="0"/>
        </w:rPr>
        <w:t xml:space="preserve"> ietver riteņbraukšanas iespējas, kas ar strukturāliem līdzekļiem atdalītas no ceļiem transportlīdzekļu satiksmei vai citām tā paša ceļa daļām (apmales, barjeras), velosipēdu ielas, velotuneļus utt. Velosipēdu infrastruktūrai ar atdalītām vienvirziena joslām (piemēram: katrā ceļa pusē) mēra garumu kā joslas garums (avots: SAM rādītāju metodoloģijas apraksts par iznākuma rādītāju RCO58).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Iznākuma rādītājs ir sasniegts</w:t>
      </w:r>
      <w:r w:rsidR="00000000" w:rsidRPr="00000000" w:rsidDel="00000000">
        <w:rPr>
          <w:rtl w:val="0"/>
        </w:rPr>
        <w:t xml:space="preserve">, kad saistībā ar projektā iekļauto velosipēdu ceļu, tostarp kopīgas gājēju un velosipēdu 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Rezultāta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sasniedzamais rezultāta rādītājs paredz, ka atdalītas riteņbraukšanas infrastruktūras lietotāju skaits gadā ir 5 820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rādītāja vērtība ir sasniedzama gada laikā pēc projekta pabeigšanas, ņemot vērā, ka lietotāju skaits būs izmērāms tikai pēc pilna kalendārā gada, mainoties cilvēku paradumiem vairāk pārvietoties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un pieejamais kopējais finansējums ir 26 461 636 euro (tai skaitā elastības finansējums 4 173 671 euro), tai skaitā Eiropas Reģionālās attīstības fonda (turpmāk – ERAF) finansējums 22 492 390 euro (tai skaitā elastības finansējums 3 547 620 euro) un nacionālais finansējums 3 969 246 euro (tai skaitā elastības finansējums 626 051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kopējais attiecināmais finansējums līdz 2025.gada 31.decembrim, lai slēgtu vienošanos par projekta īstenošanu, ir 22 287 965 euro, tai skaitā ERAF finansējums 18 944 770 euro un nacionālais finansējums 3 343 195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ERAF finansējuma apmērs ir 85% no projektam plānotā kopējā attiecināmā finansējuma. Nacionālais līdzfinansējums nav mazāks par 15%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īstenošanā var piesaistīt papildu publiskos līdzekļus (valsts budžeta līdzekļus) attiecināmo izmaksu segšanai, tai skaitā elastības finansējuma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1.janvāra atbildīgā iestāde atbilstoši Eiropas Komisijas lēmumam par vidusposma pārskatu var ierosināt sadarbības iestādei palielināt projektam pieejamo ERAF finansējumu līdz 22 492 390 euro, nepārsniedzot maksimālo ERAF finansējuma intensitāti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Satiksmes ministrija, kuras vārdā atbilstoši likuma "Par autoceļiem " 7.panta trešajai daļai un Satiksmes ministrijas deleģēšanas līgumam darbojas valsts sabiedrība ar ierobežotu atbildību "Latvijas Valsts ceļi", kas veiks Satiksmes ministrijas kā Eiropas Savienības fondu projekta iesniedzēja funkcijas. Projekta iesniedzējs pēc projekta apstiprināšanas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projekta iesniegumu, projekta iesniedzējs 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iesniedz sadarbības iestādē </w:t>
      </w:r>
      <w:r w:rsidR="00000000" w:rsidRPr="00000000" w:rsidDel="00000000">
        <w:rPr>
          <w:b w:val="1"/>
          <w:rtl w:val="0"/>
        </w:rPr>
        <w:t xml:space="preserve">vienu</w:t>
      </w:r>
      <w:r w:rsidR="00000000" w:rsidRPr="00000000" w:rsidDel="00000000">
        <w:rPr>
          <w:rtl w:val="0"/>
        </w:rPr>
        <w:t xml:space="preserve"> projekta iesniegumu saskaņā ar projekta iesnieguma atlases nolikuma prasībām un ņemot vērā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iekļauj visus nepieciešamos velosipēdu ceļu, tostarp kopīgas gājēju un velosipēdu ceļu, infrastruktūras maršrutus, lai nodrošinātu pasākuma mērķa, kā arī iznākuma un rezultāta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vienotu infrastruktūras attīstību, projektā iekļauj attiecīgo maršrutu posmus, kas atbilst Mikromobilitātes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atbalstāmās darbības ir investīciju veikšana velosipēdu ceļu, tostarp kopīgu gājēju un velosipēdu ceļu, infrastruktūrā gar autoceļiem, izbūvējot, pārbūvējot, atjaunojot, pilnveidojot un pielāgojot velosipēdu ceļu, tostarp kopīgu gājēju un velosipēdu 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nedrīkst būt iekļautas darbības, </w:t>
      </w:r>
      <w:r w:rsidR="00000000" w:rsidRPr="00000000" w:rsidDel="00000000">
        <w:rPr>
          <w:b w:val="1"/>
          <w:rtl w:val="0"/>
        </w:rPr>
        <w:t xml:space="preserve">kas ir pabeigtas līdz projekta iesnieguma iesniegšanas dienai sadarbības iestādē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Skaidrojumi par atsevišķām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Velosipēdu iela</w:t>
      </w:r>
      <w:r w:rsidR="00000000" w:rsidRPr="00000000" w:rsidDel="00000000">
        <w:rPr>
          <w:rtl w:val="0"/>
        </w:rPr>
        <w:t xml:space="preserve"> nozīmē, ka velotransporta satiksme tiek organizēta vienotā satiksmes telpā ar vietējās nozīmes (piekļuves funkcijas) autosatiksmi, krustojumos nodrošinot priekšroku velosipēdu ielai. Izmaksas tiek attiecinātas pēc proporcionalitātes principa – attiecināt var tikai to izmaksu daļu, kas atbilst atbalstam velosipēdu ceļu, tostarp kopīgu gājēju un velosipēdu ceļu, infrastruktūrai. Nevar attiecināt to izmaksu daļu, kas atbilst atbalstam autosatiksmei. Finansējuma saņēmējam katrā gadījumā ir jāpamato iepriekšminētā proporcija.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ar velosipēdu ceļu, tostarp kopīgas gājēju un velosipēdu ceļu, infrastruktūras izbūvi saistītās izmaksās ietilpst arī esošo ielu, ceļu/ gājēju ceļu </w:t>
      </w:r>
      <w:r w:rsidR="00000000" w:rsidRPr="00000000" w:rsidDel="00000000">
        <w:rPr>
          <w:b w:val="1"/>
          <w:rtl w:val="0"/>
        </w:rPr>
        <w:t xml:space="preserve">pielāgošanas izmaksas</w:t>
      </w:r>
      <w:r w:rsidR="00000000" w:rsidRPr="00000000" w:rsidDel="00000000">
        <w:rPr>
          <w:rtl w:val="0"/>
        </w:rPr>
        <w:t xml:space="preserve">, lai izveidotu velosipēdistu ceļu. Piemēram, uz esošās ielas/ gājēju ceļa (ietves) velojoslas izveidošana (līniju marķēšana, nodalot velojoslu).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satiksmes organizācijas tehnisko līdzekļu (tai skaitā ceļa zīmes, luksofori, signālstabiņi, aizsargbarjeras, vertikālie un horizontālie ceļa apzīmējumi) uzstādīšanas un atjaunošanas izmaksas ir attiecināmas arī uz esošās velosipēdu ceļu, tostarp kopīgas gājēju un velosipēdu ceļu, infrastruktūras </w:t>
      </w:r>
      <w:r w:rsidR="00000000" w:rsidRPr="00000000" w:rsidDel="00000000">
        <w:rPr>
          <w:b w:val="1"/>
          <w:rtl w:val="0"/>
        </w:rPr>
        <w:t xml:space="preserve">pilnveidošanu</w:t>
      </w:r>
      <w:r w:rsidR="00000000" w:rsidRPr="00000000" w:rsidDel="00000000">
        <w:rPr>
          <w:rtl w:val="0"/>
        </w:rPr>
        <w:t xml:space="preserve">, kas ietilpst projektā paredzētajā maršrutā un atbilst Noteikumu projektā noteiktajiem projektu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pozīcija “transportbūvju un ielu tīklam piegulošo </w:t>
      </w:r>
      <w:r w:rsidR="00000000" w:rsidRPr="00000000" w:rsidDel="00000000">
        <w:rPr>
          <w:b w:val="1"/>
          <w:rtl w:val="0"/>
        </w:rPr>
        <w:t xml:space="preserve">inženiertīklu būvniecības izmaksas</w:t>
      </w:r>
      <w:r w:rsidR="00000000" w:rsidRPr="00000000" w:rsidDel="00000000">
        <w:rPr>
          <w:rtl w:val="0"/>
        </w:rPr>
        <w:t xml:space="preserve"> [..]” attiecas uz pieguļošo (netieši saistīto) infrastruktūru saistībā ar veloceļa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veloceļš šķērsos krustojumu. Lai izbūvētu šo velosipēdu ceļu, tostarp kopīgu gājēju un velosipēdu ceļu, ir jāpārbūvē krustojums, kā rezultātā skarot esošos inženiertīklus (piemēram, kabeļus). Tādā gadījumā šīs izmaksas var būt attiecināmas šajā izmaksu pozīcijā. Tomēr jāievēro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Vides un informācijas piekļūstamības nodrošināšanas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informācijas piekļūstamības nodrošināšanas izmaksas paredzētas horizontālā principa “Vienlīdzība, iekļaušana, nediskriminācija un pamattiesību ievērošana” darbību īstenošanai, tai skaitā, vides piekļūstamības ekspertu konsultāciju nodrošināšanai, ja tās ir nepieciešamas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Izmaksu ierobežojumi</w:t>
      </w:r>
      <w:r w:rsidR="00000000" w:rsidRPr="00000000" w:rsidDel="00000000">
        <w:rPr>
          <w:rtl w:val="0"/>
        </w:rPr>
        <w:t xml:space="preserve">. Projekta iesniegumu pamatojošās dokumentācijas sagatavošanas izmaksas, ar būvprojekta izstrādi saistītās izmaksas* un ar būvuzraudzību un autoruzraudzību saistītās izmaksas kopā nepārsniedz 10%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būvdarbu ieceres dokumentācijas, būvprojekta minimālā sastāvā, apliecinājuma kartes (ja tā izstrādāta līdz 2021.gada 10.augustam),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Netiešās attiecināmās izmaksas</w:t>
      </w:r>
      <w:r w:rsidR="00000000" w:rsidRPr="00000000" w:rsidDel="00000000">
        <w:rPr>
          <w:rtl w:val="0"/>
        </w:rPr>
        <w:t xml:space="preserve"> plāno kā vienu izmaksu pozīciju, piemērojot netiešo izmaksu vienoto likmi 15% apmērā no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Pievienotās vērtības nodokļa</w:t>
      </w:r>
      <w:r w:rsidR="00000000" w:rsidRPr="00000000" w:rsidDel="00000000">
        <w:rPr>
          <w:rtl w:val="0"/>
        </w:rPr>
        <w:t xml:space="preserve"> maksājumi, kas tiešā veidā saistīti ar projektu, ir attiecināmās izmaksas, ja tos nevar atgūt atbilstoši normatīvajiem aktiem par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Pievienotās vērtības nodokļa likuma 3.panta astotajai daļai publiskas 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Kā arī atbilstoši MK 2013.gada 3.janvāra noteikumu Nr.17 “Pievienotās vērtības nodokļa likuma normu piemērošanas kārtība un atsevišķas prasības pievienotās vērtības nodokļa maksāšanai un administrēšanai” 160.punktam nodokļa rēķinā norādīto nodokli par iegādātajām precēm un saņemtajiem pakalpojumiem tādu darījumu nodrošināšanai, kas nav ar nodokli apliekami darījumi vai saistīti ar valsts pārvaldes (izpildvaras) funkciju vai uzdevumu veikšanu, vai tādu darbību nodrošināšanai, kam likuma normas nav piemērojamas, neatskaita kā priekšnodokli.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Izmaksu attiecināmības termiņš</w:t>
      </w:r>
      <w:r w:rsidR="00000000" w:rsidRPr="00000000" w:rsidDel="00000000">
        <w:rPr>
          <w:rtl w:val="0"/>
        </w:rPr>
        <w:t xml:space="preserve">. Projekta ietvaros radušās izmaksas ir attiecināmas finansēšanai, ja tās nav radušās agrāk par 2022.gada 25.novembri, izņemot turpmāk minētās izmaksas, kas ir attiecināmas, ja tās radušās pēc 2021.gada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iesniegumu pamatojošās dokumentācijas sagatavošanas izmaksas, tajā skaitā izmaksu un ieguvumu analīzes izstrādes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būvprojekta, būvdarbu ieceres dokumentācijas, būvprojekta minimālā sastāvā, apliecinājuma kartes (ja tā izstrādāta līdz 2021.gada 10.augustam),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 vērā, ka </w:t>
      </w:r>
      <w:r w:rsidR="00000000" w:rsidRPr="00000000" w:rsidDel="00000000">
        <w:rPr>
          <w:b w:val="1"/>
          <w:rtl w:val="0"/>
        </w:rPr>
        <w:t xml:space="preserve">atbalstāma ir atdalītas velosipēdu ceļu, tostarp kopīgu gājēju un velosipēdu ceļu, infrastruktūras izveide gar autoceļiem</w:t>
      </w:r>
      <w:r w:rsidR="00000000" w:rsidRPr="00000000" w:rsidDel="00000000">
        <w:rPr>
          <w:rtl w:val="0"/>
        </w:rPr>
        <w:t xml:space="preserve"> atbilstoši </w:t>
      </w:r>
      <w:r w:rsidR="00000000" w:rsidRPr="00000000" w:rsidDel="00000000">
        <w:rPr>
          <w:b w:val="1"/>
          <w:rtl w:val="0"/>
        </w:rPr>
        <w:t xml:space="preserve">Valsts mikromobilitātes infrastruktūras attīstības stratēģijai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nodrošina velosipēdu ceļu, tostarp kopīgu gājēju un velosipēdu ceļu, infrastruktūras maršrutu savienojamību – maršruti pēctecīgi turpinās un nodrošina savienojamību</w:t>
      </w:r>
      <w:r w:rsidR="00000000" w:rsidRPr="00000000" w:rsidDel="00000000">
        <w:rPr>
          <w:rtl w:val="0"/>
        </w:rPr>
        <w:t xml:space="preserve"> starp apdzīvotām teritorijām, piekļuvi sabiedriskajam transportam un mobilitātes punktiem, papildinot multimodālo savienojumu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Citi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īstenošanai nepieciešamās informācijas iesniegšanu finansējuma saņēmējs nodrošina </w:t>
      </w:r>
      <w:r w:rsidR="00000000" w:rsidRPr="00000000" w:rsidDel="00000000">
        <w:rPr>
          <w:b w:val="1"/>
          <w:rtl w:val="0"/>
        </w:rPr>
        <w:t xml:space="preserve">Kohēzijas politikas fondu vadības informācijas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ietvaros velosipēdu ceļu, tostarp kopīgas gājēju un velosipēdu ceļu, infrastruktūras precīzi maršruti būs zināmi tikai pēc projekta iesnieguma sagatavošanas un iesniegšanas. Līdz ar to šobrīd no pieejamās informācijas </w:t>
      </w:r>
      <w:r w:rsidR="00000000" w:rsidRPr="00000000" w:rsidDel="00000000">
        <w:rPr>
          <w:b w:val="1"/>
          <w:rtl w:val="0"/>
        </w:rPr>
        <w:t xml:space="preserve">nav konstatēta konkrēta sasaiste, sinerģija ar citu atbalsta instrumentu investīcijām</w:t>
      </w:r>
      <w:r w:rsidR="00000000" w:rsidRPr="00000000" w:rsidDel="00000000">
        <w:rPr>
          <w:rtl w:val="0"/>
        </w:rPr>
        <w:t xml:space="preserve">, t.sk. Atjaunošanas un noturības mehānisma ietvaros un ar ES fondu 2014.-2020.plānošanas perioda projektiem. Tādējādi, šobrīd </w:t>
      </w:r>
      <w:r w:rsidR="00000000" w:rsidRPr="00000000" w:rsidDel="00000000">
        <w:rPr>
          <w:b w:val="1"/>
          <w:rtl w:val="0"/>
        </w:rPr>
        <w:t xml:space="preserve">nav konstatēti dubultā finansējuma riski</w:t>
      </w:r>
      <w:r w:rsidR="00000000" w:rsidRPr="00000000" w:rsidDel="00000000">
        <w:rPr>
          <w:rtl w:val="0"/>
        </w:rPr>
        <w:t xml:space="preserve">. Gadījumā, ja pasākuma ietvaros, apstiprinot jaunus 2021.-2027.plānošanas perioda projektus, tiks konstatēta sasaiste, sinerģija ar citu atbalsta instrumentu investīcijām, īstenojot projektu, finansējuma saņēmējs nodrošina projektā plānoto darbu sasaisti, sinerģiju un demarkāciju ar citu atbalsta instrumentu investīcijām, nepieļaujot dubultfinansēšanas riska iestāšanos un veicot risku vadības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Komunikācijas un vizuālās identitātes prasības</w:t>
      </w:r>
      <w:r w:rsidR="00000000" w:rsidRPr="00000000" w:rsidDel="00000000">
        <w:rPr>
          <w:rtl w:val="0"/>
        </w:rPr>
        <w:t xml:space="preserve">.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50.pantu, un kārtību, kādā Eiropas Savienības fondu vadībā iesaistītās institūcijas nodrošina šo fondu ieviešanu 2021.–2027.gada plānošanas periodā, kā arī Eiropas Savienības fondu 2021.–2027.gada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Dokumentācijas glabāšana</w:t>
      </w:r>
      <w:r w:rsidR="00000000" w:rsidRPr="00000000" w:rsidDel="00000000">
        <w:rPr>
          <w:rtl w:val="0"/>
        </w:rPr>
        <w:t xml:space="preserve">. Finansējuma saņēmējs glabā projekta dokumentāciju un nodrošina tai pieejamību visā projekta īstenošanas laikā un uzraudzības periodā, kas nepārsniedz 5 (piecus) gadus pēc pēdējā noslēguma maksājuma veikšanas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Projekta īstenošanas termiņš</w:t>
      </w:r>
      <w:r w:rsidR="00000000" w:rsidRPr="00000000" w:rsidDel="00000000">
        <w:rPr>
          <w:rtl w:val="0"/>
        </w:rPr>
        <w:t xml:space="preserve">. Pasākuma ietvaros projektu īsteno saskaņā ar vienošanos par projekta īstenošanu, bet ne ilgāk kā līdz </w:t>
      </w:r>
      <w:r w:rsidR="00000000" w:rsidRPr="00000000" w:rsidDel="00000000">
        <w:rPr>
          <w:b w:val="1"/>
          <w:rtl w:val="0"/>
        </w:rPr>
        <w:t xml:space="preserve">2029.gada 31.decembrim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Vienošanos par projekta īstenošanu slēdz sadarbības iestāde un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Par Komercdarbības atbalsta regulējumu</w:t>
      </w:r>
      <w:r w:rsidR="00000000" w:rsidRPr="00000000" w:rsidDel="00000000">
        <w:rPr>
          <w:rtl w:val="0"/>
        </w:rPr>
        <w:t xml:space="preserve">. Investīcijas tiks veiktas velosipēdu ceļu, tostarp kopīgā gājēju un velosipēdu ceļu, infrastruktūrā, kas būs publiski pieejama. Ņemot vērā, ka publiskas infrastruktūras īstenošanas gadījumā pasākums nekvalificētos kā komercdarbības atbalsts, Investīcijas ietvaros netiks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Intervences kategorija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Programmā noteiktajam intervences kodam – 83 “Riteņbraukšanas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veids: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Teritoriālais īstenošanas mehānisms un teritoriālais aspekts: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sekundārais temats: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līdztiesības dimensija: dzimumu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Rekomendācijas</w:t>
      </w:r>
      <w:r w:rsidR="00000000" w:rsidRPr="00000000" w:rsidDel="00000000">
        <w:rPr>
          <w:rtl w:val="0"/>
        </w:rPr>
        <w:t xml:space="preserve">. Padomes ieteikumā (Brisele, 24.5.2023 COM(2023) 614 final) par Latvijas 2023.gada valsts reformu programmu un ar ko sniedz Padomes atzinumu par Latvijas stabilitātes programmu iesaka Latvijai 2023. un 2024.gadā saglabāt valsts finansētās publiskās investīcijas un nodrošināt AF dotāciju un citu ES fondu efektīvu apguvi, jo īpaši, lai veicinātu zaļo un digitālo pārkārtošanos.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2016.gada 14.decembra Direktīva (ES) 2016/2370, ar ko Eiropas Parlamenta un Padomes Direktīvu 2012/34/ES groza attiecībā uz iekšzemes dzelzceļa pasažieru pārvadājumu tirgus atvēršanu un dzelzceļa infrastruktūras pārvaldību un Eiropas Parlamenta un Padomes 2016.gada 14.decembra Regula (ES) 2016/2338, ar ko Regulu (EK) Nr.1370/2007 groza attiecībā uz iekšzemes dzelzceļa pasažieru pārvadājumu tirgus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Eiropas Savienības Tiesas 2003.gada 24.jūlija spriedumu lietā C-280/00 “Altmark Trans GmbH un Regierungspräsidium Magdeburg pret Nahverkehrsgesellschaft Altmark GmbH un Oberbundesanwalt beim BVerWG”, 2003, ECR I-07747.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Horizontālais princips</w:t>
      </w:r>
      <w:r w:rsidR="00000000" w:rsidRPr="00000000" w:rsidDel="00000000">
        <w:rPr>
          <w:rtl w:val="0"/>
        </w:rPr>
        <w:t xml:space="preserve">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Informācija par sasaisti ar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principa “Nenodarīt būtisku kaitējumu” (turpmāk – NBK) novērtējumu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Ietekme uz SEG emisijām</w:t>
      </w:r>
      <w:r w:rsidR="00000000" w:rsidRPr="00000000" w:rsidDel="00000000">
        <w:rPr>
          <w:rtl w:val="0"/>
        </w:rPr>
        <w:t xml:space="preserve">. Pasākums 100% atbalsta klimata pārmaiņu mērķi (083 - riteņbraukšanas infrastruktūra) un tādējādi tiek uzskatīts par atbilstīgu NBK attiecībā uz attiecīgo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jaunā velosipēdu ceļu, tostarp kopīgā gājēju un velosipēdu ceļu, infrastruktūrā stimulē velosipēda izmantošanu ikdienā, kas ļauj prognozēt velobraucēju skaita pieaugumu. Paredzētās darbības tiešā veidā palīdz sasniegt Transporta pamatnostādnēs noteiktos politikas rezultātu rezultatīvos rādītājus, t.i., samazināt kopējo SEG emisiju daudzumu, kā arī palielināt to iedzīvotāju īpatsvaru, kas ar velosipēdu vai citu mikromobilitātes transportlīdzekli brauc katru vai gandrīz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Sasaiste ar mobilitātes un ilgtspējīga transporta attīstības mērķiem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Transporta pamatnostādnēs ir uzsvērta nepieciešamība nodrošināt velosipēdu satiksmes infrastruktūru kā nepārtrauktu un ar esošo transporta infrastruktūru salāgotu transporta sistēmas daļu (prioritāri teritorijās ar lielāku iedzīvotāju blīvumu), iesaistot visas iesaistītās puses. Pamatnostādnes norāda, ka ir jāveicina iedzīvotāju mikromobilitātes (velosipēdi, skrejriteņi, līdzsvara un balansa riteņi u.c. rīki, pārvietošanās kājām) īpatsvara pieaugums kopējā mobilitātē. Nomainot ikdienā pārvietošanās paradumus no automašīnām (arī no sabiedriskā transporta) uz velosipēdu, tiek veicināts CO2 emisijas samazinājums un ES SEG emisiju samazināšanas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Paredzētie pasākumi tiešā veidā atbilst Transporta pamatnostādņu uzstādījumiem un īstenošanas plānā definētajiem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infrastruktūras projektus velosipēdistu un gājēju ceļu, satiksmes mierināšanas pasākumu un sabiedriskā transporta infrastruktūras attīstībai’ (4.2.1.), kas atbilst pamatnostādņu uzdevumam “Pilnveidot transporta sistēmu, īstenojot pasākumus klimata pārmaiņu mazināšanai” (4.2.).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Paredzētās darbības tiešā veidā palīdz sasniegt Transporta pamatnostādnēs noteiktos politikas rezultātu rezultatīvos rādītājus, t.i., samazināt kopējo SEG emisiju daudzumu, kā arī palielināt to iedzīvotāju īpatsvaru, kas ar velosipēdu vai citu mikromobilitātes transportlīdzekli brauc katru vai gandrīz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Sasaiste ar reģionālās attīstības mērķiem</w:t>
      </w:r>
      <w:r w:rsidR="00000000" w:rsidRPr="00000000" w:rsidDel="00000000">
        <w:rPr>
          <w:rtl w:val="0"/>
        </w:rPr>
        <w:t xml:space="preserve">. Investīcijas ir plānotas saskaņā ar Reģionālās politikas pamatnostādnēs 2021.-2027.gadam ietvertajiem uzdevumiem - B.2.1. “Sasniedzamība starp reģioniem” un B.2.5. “Pašvaldību ceļu un ielu infrastruktūras attīstība un mobilitātes uzlabošana”. Paredzētās darbības risinās uzdevumā definētās mobilitātes problēmas reģionos un uzlabos novadu centru sasniedzamību, tādējādi uzlabojot darba vietu un pakalpojumu sasniedzamību.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Sasaiste ar politikas plānošanas dokumentiem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Latvijas stratēģiju klimatneitralitātes sasniegšanai līdz 2050. gadam visiem transporta veidiem būtu jāveicina mobilitātes sistēmas dekarbonizācija. Mērķis ir līdz 2050.gadam sasniegt nulles emisiju līmeni. Lai to sasniegtu, ir vajadzīga sistēmiska pieeja attiecībā uz mazemisijas un bezemisijas transportlīdzekļiem. Paredzētās darbības tiešā veidā palīdz sasniegt klimatneitralitātes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Nacionālo klimata un enerģētikas plāna 2021.–2030.gadam (NEKP) mērķis ir mazināt Latvijas cilvēku, tautsaimniecības, infrastruktūras, apbūves un dabas ievainojamību pret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Gaisa piesārņojuma samazināšanas rīcības plānu 2020.-2030.gadam un tajā noteiktajiem pasākumiem, transporta sektorā ir jāizmanto videi draudzīgi transporta līdzekļi, tai skaitā sabiedriskajā transportā, vienlaikus jāveicina iedzīvotāju paradumu maiņu, izvēloties sabiedrisko transportu, mikromobilitātes rīku vai pārvietoties kājām.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Veloinfrastruktūras attīstība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saņēmējs nodrošina, ka īstenotais projekts un atbalstāmās darbības tiek īstenotas ievērojot principa “Nenodarīt būtisku kaitējumu” novērtējumā minēto; proti, j</w:t>
      </w:r>
      <w:r w:rsidR="00000000" w:rsidRPr="00000000" w:rsidDel="00000000">
        <w:rPr>
          <w:u w:val="single"/>
          <w:rtl w:val="0"/>
        </w:rPr>
        <w:t xml:space="preserve">au projektēšanas stadijā ņem vērā ar klimata pārmaiņām saistītos riskus, tostarp riskus, kas varētu rasties būvniecības, uzturēšanas un ekspluatācijas laikā</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satiksmes dalībniekus, iedzīvotājus, velosipēdu ceļu, tostarp kopīgas gājēju un velosipēdu ceļu, infrastruktūras lietotājus. Projekta īstenošanas rezultātā tiks veicināta SEG emisiju samazināšana.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Satiksmes ministrija, kuras vārdā atbilstoši likuma "Par autoceļiem " 7.panta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satiksmes dalībniekus, iedzīvotājus, velosipēdu ceļu, tostarp kopīgas gājēju un velosipēdu ceļu, infrastruktūras lietotājus. Projekta īstenošanas rezultātā tiks veicināta SEG emisiju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ceļu, tostarp kopīgas gājēju un velosipēdu ceļu, infrastruktūras attīstības rezultātā ir sagaidāms, ka palielināsies  velobraucēju skaits. Proti, jaunas velosipēdu ceļu, tostarp kopīgas gājēju un velosipēdu ceļu, infrastruktūras izveidošana stimulēs velosipēda izmantošanu ikdienā, kas ļauj prognozēt velobraucēju skaita pieaugumu. Regulāro velobraucēju skaita pieaugums, t.i., kuri brauc katru vai gandrīz katru dienu, veicina arī SEG emisiju samazinājumu, vienlaikus tam ir būtiska loma sabiedrības sociālajā dzīvē (piem., nodrošināta mobilitāte mājsaimniecībām ar zemākiem ienākumiem, uzlabota sabiedrības veselība un ietaupīti veselības aprūpē nodalīto budžetu resursi, paaugstināta dzīves kvalitāte,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sasniedzamais rezultāta rādītājs paredz, ka atdalītas riteņbraukšanas infrastruktūras lietotāju skaits gadā ir 5 820 lietotāji.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2 249 239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3 373 859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3 373 859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2 249 239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3 373 859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3 373 859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2 646 164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3 969 245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2 646 164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3 969 245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-396 925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-396 925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-396 925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-369 925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-595 387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un pieejamais kopējais finansējums ir 26 461 636 euro (tai skaitā elastības finansējums 4 173 671 euro), tai skaitā Eiropas Reģionālās attīstības fonda (turpmāk – ERAF) finansējums 22 492 390 euro (tai skaitā elastības finansējums 3 547 620 euro) un nacionālais finansējums 3 969 246 euro (tai skaitā elastības finansējums 626 051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kopējais attiecināmais finansējums līdz 2025.gada 31.decembrim, lai slēgtu vienošanos par projekta īstenošanu, ir 22 287 965 euro, tai skaitā ERAF finansējums 18 944 770 euro un nacionālais finansējums 3 343 195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attiecināmais ERAF finansējuma apmērs ir 85% no projektam plānotā kopējā attiecināmā finansējuma. Nacionālais līdzfinansējums nav mazāks par 15%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2026.gada 1.janvāra atbildīgā iestāde atbilstoši Eiropas Komisijas lēmumam par vidusposma pārskatu var ierosināt sadarbības iestādei palielināt projektam pieejamo ERAF finansējumu līdz 22 492 390 euro, nepārsniedzot maksimālā ERAF finansējuma intensitāti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ERAF finansējuma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kopējie 2.3.1.3.pasākuma ieviešanai nepieciešamie publiskā finansējuma (ERAF un valsts budžeta) līdzekļi 100% apmērā no 2.3.1.3.pasākumā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kopējais attiecināmais finansējums sadalījumā pa gadiem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84"/>
              <w:gridCol w:w="963"/>
              <w:gridCol w:w="934"/>
              <w:gridCol w:w="903"/>
              <w:gridCol w:w="883"/>
              <w:gridCol w:w="854"/>
              <w:gridCol w:w="803"/>
              <w:gridCol w:w="722"/>
              <w:tblGridChange w:id="0">
                <w:tblGrid>
                  <w:gridCol w:w="984"/>
                  <w:gridCol w:w="963"/>
                  <w:gridCol w:w="934"/>
                  <w:gridCol w:w="903"/>
                  <w:gridCol w:w="883"/>
                  <w:gridCol w:w="854"/>
                  <w:gridCol w:w="803"/>
                  <w:gridCol w:w="7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2 249 239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3 373 859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3 373 859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4 498 478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4 498 478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4 498 478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22 492 390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fin.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595 387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595 387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3 969 246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2 646 164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3 969 245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3 969 245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5 292 327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5 292 327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5 292 327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26 461 636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Pieejamais kopējais attiecināmais finansējums pa gadiem norādīts indikatīvi un var tikt precizēts pēc iepirkumu līgumu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2.3.1.3.pasākuma ietvaros pieejamais kopējais attiecināmais finansējums paredzēts darbībām, kas atbilst intervences kodam – 083: “Riteņbraukšanas infrastruktūra”.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atbilstoši pasākuma ietvaros paredzēto projekta darbību īstenošanai faktiski nepieciešamajam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iebildumi vai priekšlikumi nav saņemti. Tiks papildināts atbilstoši sabiedriskās apspriedes un sabiedrības aktivitātei.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iebildumi vai priekšlikumi nav saņemti. Tiks papildināts atbilstoši sabiedriskās apspriedes un sabiedrības aktivitātei.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23-TA-2619</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23-TA-2619</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anotācija_(ex_ante)_23-TA-2619.docx</dc:title>
</cp:coreProperties>
</file>

<file path=docProps/custom.xml><?xml version="1.0" encoding="utf-8"?>
<Properties xmlns="http://schemas.openxmlformats.org/officeDocument/2006/custom-properties" xmlns:vt="http://schemas.openxmlformats.org/officeDocument/2006/docPropsVTypes"/>
</file>