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Grozōjumi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(turpmāk - MK Noteikumu projekts) izstrādāts, lai nodrošinātu optimālu Eiropas Reģionālās attīstības fonda (turpmāk - ERAF) un valsts budžeta līdzekļu izmantošanu Ekonomikas ministrijas (turpmāk - EM) atbildībā esošo darbības programmas “Izaugsme un nodarbinātība” 1.2.2.3. pasākuma "Atbalsts IKT un netehnoloģiskām apmācībām, kā arī apmācībām, lai sekmētu investoru piesaisti" un 13.1.6. specifiskā atbalsta mērķa "Atveseļošanas pasākumi ekonomikas nozarē – nodarbināto apmācības (ERAF)"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saskaņā ar Eiropas Savienības struktūrfondu un Kohēzijas fonda 2014.–2020. gada plānošanas perioda vadības likuma 20. panta 6.punktu, 9.punktu un 13. punktu</w:t>
      </w:r>
      <w:r w:rsidR="00000000" w:rsidRPr="00000000" w:rsidDel="00000000">
        <w:rPr>
          <w:b w:val="1"/>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14. jūnija noteikumu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(turpmāk - MK Noteikumi Nr.365) noteiktā 1.2.2.3. pasākuma "Atbalsts IKT un netehnoloģiskām apmācībām, kā arī apmācībām, lai sekmētu investoru piesaisti" un 13.1.6. specifiskā atbalsta mērķa "Atveseļošanas pasākumi ekonomikas nozarē – nodarbināto apmācības (ERAF)" ietvaros tiek īstenotas aktivitātes, kas paredz “Labās prakses pārņemšana” un “Augsta līmeņa apmācības” apmācību programmas. Lai tās īstenotu, ir pieejams REACT-EU finansējums 5 000 000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kopumā atbalstīti 42 komersanti un 73 personas ir saņēmušas nefinansiālu atbalstu Augsta līmeņa apmācību aktivitātes ietvaros (MK noteikumu Nr.365 22.2.apakšpunkta aktivitāte), bet personas, kas ir saņēmušas nefinansiālu atbalstu Labās prakses aktivitātes ietvaros (MK noteikumu Nr.365 22.3.apakšpunkta aktivitāte) Kohēzijas politikas fondu vadības informācijas sistēmas (turpmāk - KPVIS) datos vēl netiek uzrādītas, jo komersanti vēl nav iesnieguši Latvijas Investīciju un attīstības aģentūrā (turpmāk - LIAA) atskaites un LIAA nav apstiprinājis īstenotās apmācības. Faktiski uz 31.12.2022., tiks apgūti 407 139 EUR, vienlaikus aktīvi notiek šo aktivitāšu īstenošana un plānots, ka līdz 31.12.2023. kopā tiks apgūti 3 500 000 EUR, indikatīvi sasniedzot MK Noteikumos Nr. 365 noteiktos rādītājus: 122 atbalstītos komersantus un 488 personas, kuras saņem nefinansiālu atbalstu. Līdz ar to arī proporcionāli tiek samazināta arī summa viena projekta iesnieguma maksimāli pieļaujamai finansējuma apmēram no 5 650 000 euro uz 4 150 000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ir secinājusi, ka esošās ekonomikas situācijas apstākļos, uzņēmumiem ir īpaši svarīgs atbalsts ārējo tirgus apgūšanai. Ņemot vērā, ka MK Noteikumos Nr. 365 veidojas atlikums 1 500 000 EUR apmērā, Ekonomikas ministrija rosina veikt pārdali uz starptautiskās konkurētspējas veicināšanas atbalta programmu, kas tiek īstenota ar Ministru kabineta 2015. gada 1. decembra noteikumiem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Karš Ukrainā un sankcijas Krievijai un Baltkrievijai ir sašūpojušas globālos tirgus un atstāj ietekmi uz pasaules ekonomiku. Ietekme uz Eiropas, it īpaši Austrumeiropas, valstīm, tai skaitā Latviju ir lielāka. Galvenie ietekmes kanāli uz ekonomiku ir caur augstākām izejvielu cenām, noskaņojuma vājināšanos un tirdzniecības apjomu mazināšanos ar Krieviju, Baltkrieviju un Ukrainu. Saistībā ar šobrīd ārpolitikā esošo krīzes situāciju un ieviestajām sankcijām pret noteiktām austrumu valstīm, ir būtiski nodrošināt atbalstu tirgus pārorientācijai un biznesa projektu realizācijai, lai novērstu tirgus lejupslīdi.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REACT-EU finasējuma pārdali 1 500 000 EUR </w:t>
      </w:r>
      <w:r w:rsidR="00000000" w:rsidRPr="00000000" w:rsidDel="00000000">
        <w:rPr>
          <w:b w:val="1"/>
          <w:rtl w:val="0"/>
        </w:rPr>
        <w:t xml:space="preserve"> </w:t>
      </w:r>
      <w:r w:rsidR="00000000" w:rsidRPr="00000000" w:rsidDel="00000000">
        <w:rPr>
          <w:rtl w:val="0"/>
        </w:rPr>
        <w:t xml:space="preserve">apmērā uz starptautiskās konkurētspējas veicināšanas atbalsta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tehniskus precizējumus, kas attiecas uz rādītāju vērtībām - tiek noteikts, ka 13.1.6. specifiskā atbalsta mērķa finansēto atbalstāmo darbību ietvaros līdz 2023. gada 31. decembrim ir sasniedzami šādi uzraudzības rādītāji un to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atbalstīto komersantu skaits – 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atbalstīto komersantu skaits, kas saņem grantus, – 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specifiskais rezultāta rādītājs – inovatīvo komersantu īpatsvars ir 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personu skaits, kuras saņem nefinansiālu atbalstu – 488.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uzskaitītas sasniedzamās vērtības 2021.gadā un 2022.gadā atsevišķi, saglabājot iepriekš definētās sasniedzamās kopējās vērtības.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3 423 714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-1 271 856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3 423 714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-1 271 856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4 211 858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4 211 858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228 144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228 144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228 144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228 144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rosina veikt finansējuma pārdali 1 500 000 euro (tai skaitā Eiropas Reģionālās attīstības fonda finansējums - 1 263 557 euro, valsts budžeta finansējums - 236 443 euro) uz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Noteikumu projekts tiks virzīts pirms vai vienlaicīgi ar grozījumiem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un grozījumiem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pārdalīts finansējums 1 500 000 EUR apmērā uz starptautiskās konkurētspējas veicināšanas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22-TA-3779</w:t>
    </w:r>
    <w:r>
      <w:br/>
    </w:r>
    <w:r w:rsidR="00000000" w:rsidRPr="00000000" w:rsidDel="00000000">
      <w:rPr>
        <w:rtl w:val="0"/>
      </w:rPr>
      <w:t xml:space="preserve">Izdrukāts 29.07.2026. 21.32 - 13.0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22-TA-3779</w:t>
    </w:r>
    <w:r>
      <w:br/>
    </w:r>
    <w:r w:rsidR="00000000" w:rsidRPr="00000000" w:rsidDel="00000000">
      <w:rPr>
        <w:rtl w:val="0"/>
      </w:rPr>
      <w:t xml:space="preserve">Izdrukāts 29.07.2026. 21.32 - 13.0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anotācija_(ex_ante)_22-TA-3779.docx</dc:title>
</cp:coreProperties>
</file>

<file path=docProps/custom.xml><?xml version="1.0" encoding="utf-8"?>
<Properties xmlns="http://schemas.openxmlformats.org/officeDocument/2006/custom-properties" xmlns:vt="http://schemas.openxmlformats.org/officeDocument/2006/docPropsVTypes"/>
</file>