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"Eiropas Savienības kohēzijas politikas programmas 2021.–2027. gadam 4.1.2. specifiskā atbalsta mērķa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projekts “Ministru kabineta noteikumi par Eiropas Savienības kohēzijas politikas programmas 2021.–2027. gadam 4.1.2. specifiskā atbalsta mērķa (turpmāk – SAM) "Uzlabot vienlīdzīgu un savlaicīgu piekļuvi kvalitatīviem, ilgtspējīgiem un izmaksu ziņā pieejamiem veselības aprūpes, veselības veicināšanas un slimību profilakses pakalpojumiem, uzlabojot veselības aprūpes sistēmu efektivitāti un izturētspēju" 4.1.2.8. pasākuma "Nevalstisko organizāciju iesaiste veselības veicināšanas un slimību profilakses pasākumu īstenošanā" īstenošanu” (turpmāk – TA projekts) ir Veselības ministrijas (turpmāk – VM) iniciatīva un izstrādāts saskaņā ar 2022. gada 7. aprīļa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projekta mērķis ir noteikt normatīvo regulējumu ES kohēzijas politikas programmas Latvijai 2021.–2027. gadam SAM 4.1.2. "Uzlabot vienlīdzīgu un savlaicīgu piekļuvi kvalitatīviem, ilgtspējīgiem un izmaksu ziņā pieejamiem veselības aprūpes, veselības veicināšanas un slimību profilakses pakalpojumiem, uzlabojot veselības aprūpes sistēmu efektivitāti un izturētspēju" 4.1.2.8. pasākumam "Nevalstisko organizāciju iesaiste veselības veicināšanas un slimību profilakses pasākumu īstenošanā" (turpmāk – 4.1.2.8. pasākums).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nevienlīdzību veselības jomā, ir būtiski jāuzlabo pieejamība veselības veicināšanas un slimību profilakses pakalpojumiem, jo īpaši, nabadzības, teritoriālās un sociālās atstumtības riskam pakļautajiem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Viens no svarīgākajiem rīkiem mērķtiecīgai nevienlīdzības mazināšanai ir investīcijas veselības veicināšanā, slimību profilaksē un integrētas veselības aprūpes pakalpojumu nodrošināšanā, īpaši pievēršot uzmanību riska grupām, kas pakļautas finansiālai, ģeogrāfiskai u.c. nevienlīdzībai.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jaunākajiem publicētajiem Eurostat datiem Latvijā sabiedrības veselības rādītāji būtiski atpaliek no citām Eiropas Savienības (turpmāk – ES) dalībvalstīm. Latvijas iedzīvotāju vidējais paredzamais veselīgi nodzīvotā mūža ilgums 2022. gadā bija 54,2 gadi, t.i., ir viszemākais ES (sievietēm 55,4 gadi, vīriešiem – 53 gadi). Salīdzinājumam Maltā veselīgi nodzīvoto mūža gadu rādītājs 2022.gadā bija 70,2 gadi.[1] Jaundzimušo vidējais paredzamais mūža ilgums, kas raksturo sabiedrības veselību un valsts veselības sistēmas attīstību, 2022. gadā Latvijā sievietēm ir 79,4 gadi, kas attiecīgi ir ceturtais mazākais ES pēc Bulgārijas, Rumānijas un Ungārijas, bet vīriešiem 69,4 gadi, attiecīgi mazākais starp visām ES dalībvalstīm. ES valstu vidējais jaundzimušo paredzamais mūža ilgums sievietēm ir 83,3 gadi, bet vīriešiem – 77,9 gadi.[2]</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Atkarību izraisošo vielu lietošana Latvijā ir izplatīta, sākot no agrīna pusaudžu vecuma.</w:t>
      </w:r>
      <w:r w:rsidR="00000000" w:rsidRPr="00000000" w:rsidDel="00000000">
        <w:rPr>
          <w:rtl w:val="0"/>
        </w:rPr>
        <w:t xml:space="preserve"> Saskaņā ar Slimību profilakses un kontroles centra (turpmāk – SPKC) pasūtīto pētījumu “Atkarību izraisošo vielu lietošanas izplatība iedzīvotāju vidū”, kas tiek veikts reizi 4 gados un pēdējo reizi tika veikts 2020. gadā[3], vērojama narkotiku pamēģinājušo iedzīvotāju īpatsvara palielināšanās, savukārt neseno un pašreizējo lietotāju īpatsvars ir salīdzinoši konstants. Saskaņā ar 2020. gada datiem 16,8% Latvijas iedzīvotāju vecumā no 15 līdz 64 gadiem ir pamēģinājuši narkotiskās vielas. Ilgtermiņā pamēģināšanas rādītāji mainās, piemēram, 2015. gadā pētījuma rezultāti parādīja, ka 11,3% iedzīvotāju ir pamēģinājuši narkotiskās vielas, bet 2011. gada pētījuma posmā – 14,5%. 2020. gada aptauja rāda, ka narkotikas jebkad pamēģinājušo respondentu īpatsvars vīriešu vidū ir 24,1%, kas ir augstāks īpatsvars nekā 2015. gadā konstatētais (17,9%), savukārt sievietēm – 9,9% (5,1% 2015. gadā). Kopumā vērojami augstāki lietošanas rādītāji jaunu iedzīvotāju vidū, piemēram, 2020. gada pētījuma rezultāti parāda, ka 24,5% iedzīvotāji vecumā no 15 līdz 34 gadiem ir pamēģinājuši narkotiskās vielas. Visbiežāk lietotā viela ir marihuāna (pamēģinājuši 15,0%), bet citas vielas, piemēram, kokaīns (pamēģinājuši 2,7%) un ekstazī (pamēģinājuši 1,9%) ir mazāk izplatīts. Arī regulāri veiktā pētījumā par atkarību izraisošo vielu lietošanas paradumiem un tendencēm skolēnu vidū jeb ESPAD[4], ko pēdējo reizi Latvijā veica 2019. gadā, redzams, ka atkarību izraisošo vielu lietošanas izplatība skolēnu vidū ir augsta, proti, jebkuras narkotiskās vielas bija pamēģinājuši 27% 15 - 16 gadus veci skolēni, kas ir augstāks par šajā pētījumā iekļauto valstu vidējo rādītāju – 17%.</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alkoholisko dzērienu lietošanu gan 2015., gan 2019.gada pētījuma dati liecina, ka alkoholu vismaz reizi pamēģinājuši 89% 15-16 gadus veci skolēni. Turklāt 48% Latvijas skolēnu alkoholiskos dzērienus sākuši lietot vai ir pamēģinājuši agrīnā vecumā, tas ir, 13 gadu vecumā vai agrāk.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Skolēnu veselības paradumu pētījuma 2021./2022. mācību gadā[5] rezultātiem būtiski ir pieaugusi e- cigarešu lietošana no 9,6% (2018) uz 14,2% (2022).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pamatnostādnēs 2021. – 2027. gadam[6] un Profilakses pasākumu un veselības aprūpes pakalpojumu uzlabošanas plānā alkoholisko dzērienu un narkotisko vielu lietošanas izplatības mazināšanas jomā 2023.–2025. gadam[7] ir iekļauti pasākumi attiecībā uz jauniešu un vecāku informēšanu/izglītošanu par atkarību profilakses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Latvijas sabiedrībā kopumā ir salīdzinoši zema izpratne par seksuālās un reproduktīvās veselības jautājumiem. </w:t>
      </w:r>
      <w:r w:rsidR="00000000" w:rsidRPr="00000000" w:rsidDel="00000000">
        <w:rPr>
          <w:rtl w:val="0"/>
        </w:rPr>
        <w:t xml:space="preserve">2023. gadā veiktais Veselības ministrijas pētījums ”Par Latvijas iedzīvotāju seksuālās un reproduktīvās veselības ietekmējošiem faktoriem un paradumiem”[8] parāda, ka tikai puse iedzīvotāju pārrunā ar seksuālo un reproduktīvo veselību saistītus jautājumus ar saviem bērniem, kad viņi bija/ir vecumā līdz 15 gadiem. Tikai trešdaļa iedzīvotāju uzskata, ka skolā sniegtā informācija par seksuālās un reproduktīvās veselības tēmām ir pietiekama. Zināšanas par kontracepcijas metodēm pēdējo desmit gadu laikā nav uzlabojušās. Pētījuma dati liecina, ka pirmā dzimumakta laikā no grūtniecības izsargājušies tikai puse iedzīvotāju. Biežāk norādītie kontracepcijas nelietošanas iemesli ir fakts, ka dzimumattiecības nav bijušas plānotas, ka nav bijis laika par to domāt, un ir pārliecība, ka grūtniecība pirmajā reizē neiestāsies. Divreiz lielāks īpatsvars vīriešu (salīdzinājumā ar sievietēm) par ļoti efektīvu metodi uzskata pārtraukto dzimumaktu. Tikai trešdaļai iedzīvotāju ir apmierinošas zināšanas par HIV. Iedzīvotājiem ir nepietiekamas zināšanas par seksuāli transmisīvām slimībām (STI).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pamatnostādnēs 2021.–2027. gadam iekļauti pasākumi seksuālās un reproduktīvās veselības veicināšanai un viens no pamatnostādņu apakšmērķiem ir uzlabot iedzīvotāju seksuālo un reproduktīvo veselību, īstenojot vienotu seksuālās un reproduktīvās veselības veicināšanas politiku sabiedrībā.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https://ec.europa.eu/eurostat/databrowser/view/tps00150/default/table?lang=en&amp;category=t_hlth.t_hlth_state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https://ec.europa.eu/eurostat/databrowser/view/tps00208/default/table?lang=en&amp;category=t_hlth.t_hlth_state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https://www.spkc.gov.lv/lv/media/15536/download?attachment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https://www.spkc.gov.lv/lv/media/6109/download?attachment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https://www.spkc.gov.lv/lv/media/21564/download?attachment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https://likumi.lv/ta/id/332751-sabiedribas-veselibas-pamatnostadnes-2021-2027-gadam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[7]https://likumi.lv/ta/id/336736-par-profilakses-pasakumu-un-veselibas-aprupes-pakalpojumu-uzlabosanas-planu-alkoholisko-dzerienu-un-narkotisko-vielu-lietosanas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https://www.esparveselibu.lv/sites/default/files/2023-11/P%C4%93t%C4%ABjuma%20gala%20zi%C5%86ojums.pdf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Joprojām nepietiekamā apjomā ir pieejamas programmas un pasākumi bērniem un jauniešiem, kas paredz attīstīt dzīves prasmes un stiprināt kritisko domāšanu, kā arī spēju pateikt "nē". Saskaņā ar pētījumiem, tieši jauniešiem (pusaudžiem) vecuma grupā no 11 līdz 18 gadiem zinātniski pamatotas ir dzīves prasmju attīstīšanas programmas, pamatojoties uz personīgajām un sociālajām prasmēm un sociālo ietekmi.[1]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vecāku izglītošanas nepieciešamību, jāvērš uzmanība, ka atkarību profilakses ietvarā liela nozīme ir ģimenei un videi, kurā bērns aug un attīstās. Ģimenes attiecības, emocionālā saikne ģimenē, vecāku ieinteresētība par bērna dzīvi, spēja komunicēt, kā arī vecāku kā pozitīva piemēra esamība un citas audzināšanas prasmes ir daži no faktoriem, kas mazina iespēju, ka pusaudzis pamēģinās un lietos apreibinošās vielas.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joprojām nepietiekamā apjomā ir pieejamas programmas un pasākumi pusaudžiem, jauniešiem, kuri sniedz zināšanas par seksuālās un reproduktīvās veselības jautājumiem. Tieši atbilstošu pasākumu un informācijas sniegšana minētajai mērķagrupai, veicinot izpratni par seksualitāti, drošu un cieņpilnu attiecību veidošanu, var sniegt pusaudžiem, jauniešiem nepieciešamās prasmes un zināšanas, kas palīdz novērst nedrošu seksuālo attiecību uzsākšanu, novērst neplānotu grūtniecību un inficēšanos ar seksuāli transmisīvajām infekcijām (STI), cilvēka imūndeficīta vīrusu (HIV).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attiecībā uz vecāku izglītošanas nepieciešamību, jāvērš uzmanība, ka ģimenei un videi, kurā bērns aug un attīstās ir arī ietekme uz viņa seksuālo un reproduktīvo veselību, attiecīgi vecākiem ir jābūt zinošiem un prasmīgiem komunikācijā un sarunu vadīšanā ar pusaudžiem par seksuālo un reproduktīvo veselību, tādējādi sniedzot pusaudžiem, jauniešiem nepieciešamās prasmes un zināšanas gan par attiecību veidošanu, gan arī novērstu neplānotu grūtniecību, kā arī inficēšanos ar HIV un citām STI.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Iepriekšējā Eiropas Savienības struktūrfondu un Kohēzijas fonda 2014.-2020. gada plānošanas perioda projekta Nr. 9.2.4.1/16/I/001 “Kompleksi veselības veicināšanas un slimību profilakses pasākumi” ietvaros tika īstenotas nacionāla mēroga aktivitātes iedzīvotāju veselības uzlabošanai un slimību profilaksei, tādējādi sasniedzot gan mērķa grupas, gan veselības aprūpes un citus profesionāļus, kā arī aktualizējot sabiedrībai nozīmīgus un aktuālus veselības tematus, piemēram, par vakcināciju, veselīgu uzturu, fiziskajām aktivitātēm, traumatismu, atkarību profilaksi u.tml. Nacionāla mēroga veselības veicināšanas pasākumos piedalījušies 17 001 īpaši atbalstāmo mērķa grupu iedzīvotāju un slimību profilakses pasākumos - 1 247 īpaši atbalstāmo mērķa grupu iedzīvotāju [2], realitātē īstenotajos pasākumos sasniegts un iesaistīts krietni apjomīgāks dalībnieku kopskaits, gūstot atsaucību, interesi un augstu novērtējumu no iesaistīto mērķa grupas pārstāvju puses.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Slimību profilakses pasākumu ietvaros īstenoti trīs pilotprojekti – Smēķēšanas atmešanas pilotprojekts, psihiskās veselības veicināšanas programma un pilotprojekts sirds un asinsvadu slimību riska faktoru noteikšanai un mazināšanai bērniem. Minētajos pilotprojektos kopā piedalījušies vairāk kā 2 400 dalībnieki. Pilotprojektu ietvaros veiktās aktivitātes guvušas atsaucību. Tāpat izstrādātā apjomīgā informatīvo materiālu un ieteikumu bāze visu trīs aktivitāšu ietvaros, kalpos kā noderīgs informācijas avots, plānojot un atkārtoti ieviešot jau izpilotētās aktivitātes. Piemēram, smēķēšanas atmešanas pilotprojekta ietvaros materiālos ir sniegta informācija un metodika, kā palīdzēt pacientiem atmest smēķēšanu. Tajā ir gan instrumenti nikotīna atkarīgu pacientu diagnosticēšanai, gan vairākas metodes, kā motivēt smēķējošu pacientu pārtraukt šo veselībai kaitīgo ieradumu.[3]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Bez tam iepriekšējā Eiropas Savienības struktūrfondu un Kohēzijas fonda 2014. - 2020. gada plānošanas perioda 9.2.4.2. pasākuma "Pasākumi vietējās sabiedrības veselības veicināšanai un slimību profilaksei" ietvaros veselības veicināšanas un slimību profilakses pasākumi tika īstenoti vietējā – pašvaldību līmenī. Laika periodā no 2017. gada līdz 2023. gadam (ieskaitot) pašvaldības un SPKC īstenoja vairāk kā 7 000 dažādus pasākumus psihiskās veselības, atkarību izplatības mazināšanas, fizisko aktivitāšu, veselīga uztura, seksuālās un reproduktīvās veselības un slimību profilakses četru prioritāro jomu (sirds un asinsvadu slimības, onkoloģiskās slimības, bērnu (sākot no perinatālā un neonatālā perioda) veselība un psihiskā (garīgā) veselība) ietvaros. [3]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saslimstības un mirstības rādītāji Latvijā uzlabotos un vismaz tuvinātos ES vidējiem rādītājiem, lai Latvijas iedzīvotāji būtu veselībpratīgāki un domājošāki par savām veselīgajām izvēlēm un lai nodrošinātu līdzšinējo ieguldījumu pēctecību un vairotu ieguvumus ir jāturpina regulāri, mērķtiecīgi un visaptveroši veselības veicināšanas un slimību profilakses pasākumi Latvijas iedzīvotājiem.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Nacionālajā attīstības plānā (turpmāk – NAP) 2021. – 2027. gadam ir norādīts, ka “Visaptverošas, efektīvas slimību profilakses trūkums uzskatāms par vienu no būtiskākajiem iemesliem, kādēļ NAP2020 mērķi veselības jomā netiek sasniegti. Eksperti norāda, ka efektīva slimību profilakse un veselības veicināšana neaprobežojas tikai ar sabiedrības veselības kampaņu īstenošanu, bet paredz uz pierādījumiem balstītu pasākumu īstenošanu veselību ietekmējošo riska faktoru mazināšanai, mazinot alkohola un tabakas lietošanu sabiedrībā, kā arī atbalstot fiziskās aktivitātes un veselīgus uztura paradumus prioritāri tajās iedzīvotāju grupās, kuras visvairāk pakļautas mazkustīga dzīvesveida un neveselīga uztura radītajiem riskiem.[4]</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https://www.spkc.gov.lv/lv/media/15461/download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Dati no Kohēzijas politikas fondu vadības informācijas sistēmas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https://esparveselibu.lv/sites/default/files/2023-12/Veselibas_veicinasanas_plans.pdf</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https://likumi.lv/wwwraksti/LIKUMI/NAP/NAP2027.PDF</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veselības pamatnostādnēs 2021. – 2027. gadam noteiktas septiņas sabiedrības veselības prioritārās jomas – sirds un asinsvadu slimības, onkoloģija, psihiskā veselība, mātes un bērna veselības (perinatālais un neonatālais periods) aprūpe, retās slimības, paliatīvā aprūpe un medicīniskā rehabilitācija.6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Mērķtiecīgiem veselības veicināšanas un slimību profilakses pasākumiem ir būtiska loma sabiedrības veselības stāvokļa uzlabošanā, kas ir svarīgs faktors veselības aprūpes sistēmas noslodzes mazināšanā. Pierādīts, ka, investējot veselības veicināšanā un hronisku neinfekcijas slimību profilaksē (mazinot riska faktoru izplatību), var samazināt priekšlaicīgu mirstību, invaliditāti, saglabāt darbspējas un dzīves kvalitāti, tādejādi veicinot iedzīvotāju darba spēju saglabāšanu un mazinot arī nabadzības risku. </w:t>
      </w:r>
      <w:r w:rsidR="00000000" w:rsidRPr="00000000" w:rsidDel="00000000">
        <w:rPr>
          <w:rtl w:val="0"/>
        </w:rPr>
        <w:t xml:space="preserve">[1]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veselības veicināšanas un slimību profilakses pasākumus, kas izglīto iedzīvotājus par iespējām saglabāt veselību, tiktu nodrošināti priekšnoteikumi veselības saglabāšanai un uzlabošanai, kā arī minēto rādītāju būtiskai mazināšanai nākotnē. Tādējādi tiktu ne tikai mazināta veselības nevienlīdzība (health inequality), bet arī palielināta darbaspējīgo iedzīvotāju daļa, paaugstinot nodarbinātību un veicinot ekonomikas attīstību, nodrošinot Latvijas iedzīvotāju dzīves ilguma pietuvināšanos vidējam ES rādītājam, kas ļautu nodrošināt arī ekonomiskās izaugsmes un labklājības līmeņa tuvināšanos ES vidējiem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uzlabotu situāciju un noteiktu stratēģiskos rīcības virzienus, ir izstrādātas Sabiedrības veselības pamatnostādnes 2021. - 2027. gadam, kuru izstrādē veikta esošā veselības aprūpes sistēmas analīze. Sabiedrības veselības politikas mērķis ir uzlabot Latvijas iedzīvotāju veselību, pagarinot labā veselībā nodzīvoto mūžu, novēršot priekšlaicīgu mirstību un mazinot nevienlīdzību veselības jomā. Pamatnostādnes paredz pasākumu kopumu, kas vērsti uz to, lai nodrošinātu kvalitatīvus un efektīvus veselības aprūpes pakalpojumus, to sniegšanai nepieciešamos cilvēkresursus un infrastruktūru, attiecīgi nosakot 5 stratēģiskos rīcības virzienus: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Veselīgs un aktīvs dzīvesveids;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Infekcijas izplatības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Veselības aprūpes pakalpojumi (ambulatori, stacionāri, tarifi, zāles);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Cilvēkresursi;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Veselības aprūpes ilgtspēja, pārvaldības stiprināšana, efektīva veselības aprūpes resursu izmantošana.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Pamatnostādņu virziena "Veselīgs un aktīvs dzīvesveids" sasniegšanai Veselības ministrija īsteno nacionālā līmeņa pasākumus (4.1.2. SAM 4.1.2.1. pasākums “Nacionāla mēroga veselības veicināšanas un slimību profilakses pasākumi”), savukārt 4.1.2. SAM 4.1.2.2. pasākuma "Veselības veicināšanas un slimību profilakses pasākumu īstenošana vietējai sabiedrībai" ietvaros pašvaldības nodrošinās vietējās veselības veicināšanas un slimību profilakses pasākumus vietējā sabiedrībā. Finanšu ministrijas 4.1.2. SAM 4.1.2.3. pasākuma "Pasākumi atkarīgo personu resocializācijai un atgriešanai darba tirgū, kā arī preventīvie pasākumi jauniešiem" ietvaros tiks veikti pētījumi, pamatojoties uz kuru rezultātiem tiks veiktas izmaiņas normatīvo regulējumu saturā. Iekšlietu ministrijas īstenotā 4.1.2.4. pasākuma “Pierādījumos balstītu narkotiku lietošanas profilakses programmu īstenošana un profilakses kvalitātes standartu ieviešana” ietvaros notiks pierādījumos balstītas programmas “Labas uzvedības spēle” (angl. Good Behaviour game[2]) pilotprojekta ieviešana Latvijā, apmācību organizēšana atkarību izraisošu vielu lietošanas profilaksē iesaistītajiem speciālistiem un pētījumu veikšana par atkarību izraisošo vielu lietošanas profilakses aktivitātēm Latvijā un profilakses standartu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Latvijas iedzīvotāju veselībpratība </w:t>
      </w:r>
      <w:r w:rsidR="00000000" w:rsidRPr="00000000" w:rsidDel="00000000">
        <w:rPr>
          <w:i w:val="1"/>
          <w:rtl w:val="0"/>
        </w:rPr>
        <w:t xml:space="preserve">(kognitīvās un sociālās prasmes, kuras nosaka indivīdu motivāciju un iespējas iegūt, izprast un izmantot informāciju tā, lai tā veicinātu un nodrošinātu labu veselību - Pasaules veselības organizācijas definīcija) </w:t>
      </w:r>
      <w:r w:rsidR="00000000" w:rsidRPr="00000000" w:rsidDel="00000000">
        <w:rPr>
          <w:rtl w:val="0"/>
        </w:rPr>
        <w:t xml:space="preserve">ir zemā līmenī, ko pierāda statistikas dati, un to, ka sabiedrības veselības rādītāji uzlabojas ilgtermiņā - ilgstoši strādājot ar visām mērķa grupām, mainot to paradumus - veselības veicināšanas un slimību profilakses pasākumi tiek īstenoti vairākos līmeņos – gan nacionālā, gan vietējā pašvaldību līmenī, tai skaitā dodot iespēju pasākumus īstenot arī tieši nevalstiskajām organizācijām – strādājot savā reģionā vietējās kopienas līmenī. Attiecīgi Veselības ministrijas administrētajiem  veselības veicināšanas un slimību profilakses pasākumiem ir savstarpēji papildinoša ietekme un pārklāšanās nav konstatējama.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demarkāciju ar 4.1.2.2. pasākuma "Veselības veicināšanas un slimību profilakses pasākumu īstenošana vietējai sabiedrībai" pašvaldību īstenotajiem veselības veicināšanas un slimību profilakses pasākumiem un to saskaņotību, nevalstiskajām organizācijām (turpmāk – NVO) būs izaicinājums, jo 4.1.2.8. pasākuma ietvaros noteikta atklāta projektu iesniegumu atlase un, iesniedzot projektu nav skaidrs, kurš uzvarēs atklātā atlasē un īstenos savus pasākumus, savukārt 4.1.2.2. pasākuma "Veselības veicināšanas un slimību profilakses pasākumu īstenošana vietējai sabiedrībai" ietvaros veselības veicināšanas un slimību profilakses pasākumu finansējuma saņēmēji ir pašvaldības un pašu veicināšanas un slimību profilakses pasākumu īstenošana tiek organizēta atklātu iepirkumu veidā, līdz ar to pasākumu sinerģija var nobīdīties gan laikā, gan pasākumu īstenošanas vietās. Tomēr 4.1.2.8. pasākuma ietvaros projektu atlasē projekta iesniedzējam noteikts pienākums saplānot savus pasākumus atbilstoši tēmai, attiecīgi reģions tiks apzināts no pieejamo citu pasākumu aspekta. Bez tam NVO ir noteiktas divas tēmas, savukārt pašvaldības veselības veicināšanas un slimību profilakses pasākumus var īstenot vairākās tēmās. Arī šajā gadījumā pasākumiem būs papildinoša ietekme.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Arī pārklāšanās ar Labklājības ministrijas īstenoto pasākumu atbilstoši Ministru kabineta 2023. gada 21. novembra noteikumu Nr. 676 “Eiropas Savienības kohēzijas politikas programmas 2021. – 2027. gadam SAM 4.3.6. "Veicināt nabadzības vai sociālās atstumtības riskam pakļauto cilvēku, tostarp vistrūcīgāko un bērnu, sociālo integrāciju" 4.3.6.5. pasākuma "Atbalsta pasākumi bērniem ar uzvedības vai atkarību problēmām un to ģimenēm" īstenošanas noteikumi”” (turpmāk – 4.3.6.5. pasākums) nav konstatējama, jo 4.3.6.5. pasākuma mērķis ir laikus identificēt bērnu uzvedības vai atkarību problēmu veidošanās risku un nodrošināt savlaicīgu un vajadzībām atbilstošu pakalpojumu un atbalsta sniegšanu uzvedības traucējumu un atkarību problēmu risināšanai. 4.3.6.5. pasākuma mērķa grupa ir ģimenes ar bērniem ar uzvedības vai atkarību problēmām vai to attīstības risku, tai skaitā audžuģimenes un aizbildņi un bērni ar uzvedības vai atkarību problēmām vai to attīstības risku. Proti atkarību profilakses problēma jau tiek risināta konkrētu ģimeņu ietvaros. 4.3.6.5. pasākuma projekta iesniedzējs un finansējuma saņēmējs ir Bērnu aizsardzības centrs, kas ir labklājības ministra pārraudzībā esoša tiešās pārvaldes iestāde, kas nodrošina normatīvo aktu ievērošanas uzraudzību un kontroli bērnu tiesību aizsardzības un bāriņtiesu darbības jomā, kas liecina, ka tiks izstrādāti valsts pakalpojumi un sniegts atbalsts valsts līmenī ģimenēm ar bērniem ar uzvedības vai atkarību problēmām, vai to attīstības risku, strādājot jau ar personu individuālajā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nav konstatējama pārklāšanās ar Ieslodzījuma vietu pārvaldes īstenoto pasākumu atbilstoši Ministru kabineta 2023. gada 5. decembra noteikumu Nr. 726 “Eiropas Savienības kohēzijas politikas programmas 2021.–2027. gadam 4.3.4. specifiskā atbalsta mērķa "Sekmēt aktīvu iekļaušanu, lai veicinātu vienlīdzīgas iespējas, nediskriminēšanu un aktīvu līdzdalību, kā arī uzlabotu nodarbināmību, jo īpaši attiecībā uz nelabvēlīgā situācijā esošām grupām" 4.3.4.7. pasākuma "Nodarbināmības priekšnosacījumu nodrošināšana ieslodzītajiem, pilnveidojot resocializācijas sistēmas efektivitāti, sekmējot bijušo ieslodzīto iekļaušanos, vienlīdzīgas iespējas un aktīvu līdzdalību" īstenošanas noteikumi” (turpmāk 4.3.4.7. pasākums), jo 4.3.4.7. pasākuma mērķa grupa ir ieslodzītie, ieslodzīto ģimenes locekļi un atbalsta personas, Ieslodzījuma vietu pārvaldes nodarbinātie un brīvprātīgie, citu valsts un pašvaldības institūciju, biedrību un nodibinājumu pārstāvji, kuru darbības joma ir saistīta ar kriminālsodu izpildi, kriminālsodu izpildes politikas plānošanu, iekļaušanās veicināšanu, palīdzības un atbalsta sniegšanu ieslodzītajiem, bijušajiem ieslodzītajiem, viņu ģimenes locekļiem un atbalsta personām, palīdzību no apreibinošām vielām un procesiem atkarīgām personām un personām, kuras cietušas no noziedzīgiem nodarījumiem, sociāli lietderīgu brīvā laika pavadīšanu sociālās atstumtības riska mērķgrupām un brīvprātīgo darba veicināšanu un pasākuma mērķis ir  nodarbināmības priekšnosacījumu nodrošināšana ieslodzītajiem, pilnveidojot resocializācijas sistēmas efektivitāti, sekmējot bijušo ieslodzīto iekļaušanos, vienlīdzīgas iespējas un aktīvu līdzdalību.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4.1.2.8. pasākuma atbalstāmās darbības, tiks nodrošināta demarkācija ar Bērnu aizsardzības centra īstenoto 4.3.6.5. pasākumu.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4.1.2.4. pasākumu “Pierādījumos balstītu narkotiku lietošanas profilakses programmu īstenošana un profilakses kvalitātes standartu ieviešana” un Ieslodzījuma vietu pārvaldes īstenoto 4.3.4.7. pasākumu.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Kopā ar 4.1.2.1., 4.1.2.2., 4.1.2.3. un 4.1.2.4. pasākumu ietvaros īstenotajām darbībām 4.1.2.8. pasākuma "Nevalstisko organizāciju iesaiste veselības veicināšanas un slimību profilakses pasākumu īstenošanā" ietvaros īstenotās darbības radīs ietekmi uz Sabiedrības veselības plānā noteiktajiem mērķiem un rādītājiem</w:t>
      </w:r>
      <w:r w:rsidR="00000000" w:rsidRPr="00000000" w:rsidDel="00000000">
        <w:rPr>
          <w:rtl w:val="0"/>
        </w:rPr>
        <w:t xml:space="preserve">, piemēram, tiks uzlabots rādītājs "potenciāli zaudētie mūža gadi uz 100 000 iedzīvotājiem līdz 69 gadu vecumam (vīriešiem/sievietēm)" un rādītājs "veselīgi nodzīvotie mūža gadi vīriešiem un sievietēm", pagarinot veselīgi nodzīvotos dzīves gadus par diviem gadiem un samazinot potenciāli zaudētos mūža gadus uz 100 000 iedzīvotājiem no 6 762 (2019. gadā) līdz 5 700 (2027. gadā) jeb par 15,7%.Tas attiecīgi palīdzēs uzlabot iedzīvotāju veselību, sekmēs savlaicīgu slimību risku mazināšanu, darbspēju saglabāšanu, tādejādi pagarinot veselīgo mūža ilgumu un nākotnē atslogojot ārstniecības iestāžu darbu.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4.1.2.8. pasākuma mērķis ir uzlabot vienlīdzīgu un savlaicīgu piekļuvi veselības veicināšanas un slimību profilakses pakalpojumiem, nodrošinot vietēja mēroga veselības veicināšanas un slimību profilakses pasākumus.</w:t>
      </w:r>
      <w:r w:rsidR="00000000" w:rsidRPr="00000000" w:rsidDel="00000000">
        <w:rPr>
          <w:b w:val="1"/>
          <w:rtl w:val="0"/>
        </w:rPr>
        <w:t xml:space="preserve">4.1.2.8. pasākuma mērķa grupa ir Latvijas iedzīvotāji, it īpaši bērni, jaunieši un vecāki.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Mērķa grupā “vecāki” tiek ietverti arī aizbildņi, audžuģimenes, personāls, kas strādā ar bērniem bērnu aprūpes iestādēs.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4.1.2.8. pasākums sekmēs SAM 4.1.2. rezultāta rādītāja “Iedzīvotāju skaits, kuri pēdējā gada laikā veselības apsvērumu dēļ Eiropas Sociālā fonda Plus veselības veicināšanas pasākumu ietekmē ir mainījuši uztura un citus dzīvesveida paradumus, nodrošinot, ka līdz 2029. gada 31. decembrim sasniegts rādītājs – 50 000 iedzīvotāju.”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2023. gada 21. marta noteikumos Nr. 135 “Eiropas Savienības fondu projektu pārbaužu veikšanas kārtība 2021. – 2027. gada plānošanas periodā” noteikts, ka “pārskatu par iepriekšējā kalendāra gada dalībniekiem un sasniegtajiem tūlītējiem rādītājiem iesniedz reizi gadā kopā ar noslēguma maksājuma pieprasījumu par dalībniekiem, kas uzsāka dalību pēc pēdējā pārskata perioda beigām, un ESF+ un TPF projektiem, </w:t>
      </w:r>
      <w:r w:rsidR="00000000" w:rsidRPr="00000000" w:rsidDel="00000000">
        <w:rPr>
          <w:b w:val="1"/>
          <w:rtl w:val="0"/>
        </w:rPr>
        <w:t xml:space="preserve">kuros ir noteikts uzraudzības rādītājs "dalībnieku/personu skaits"</w:t>
      </w:r>
      <w:r w:rsidR="00000000" w:rsidRPr="00000000" w:rsidDel="00000000">
        <w:rPr>
          <w:rtl w:val="0"/>
        </w:rPr>
        <w:t xml:space="preserve">, tai skaitā par visiem programmā ietvertajiem rādītājiem, kas paredz personu/dalībnieku uzskaiti. Atbilstoši atbildīgās iestādes norādījumiem sadaļā neiekļauj to dalībnieku datus, kas piedalās publiskos atvērtā tipa pasākumos. Ja šāds rādītājs projektā nav noteikts, pārskatu neiesniedz.” Ņemot vērā, ka projektā nav noteikts šāds rādītājs, kā arī lai nepalielinātu administratīvo slogu, informācija par Eiropas Sociālā fonda Plus kopējiem iznākuma un tūlītējiem rezultāta rādītājiem atbilstoši Regulas 2021/1057 I un II pielikumam netiks uzkrāta.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pasākumu paredzēts īstenot </w:t>
      </w:r>
      <w:r w:rsidR="00000000" w:rsidRPr="00000000" w:rsidDel="00000000">
        <w:rPr>
          <w:b w:val="1"/>
          <w:rtl w:val="0"/>
        </w:rPr>
        <w:t xml:space="preserve">atklātas projektu iesniegumu atlases veidā</w:t>
      </w:r>
      <w:r w:rsidR="00000000" w:rsidRPr="00000000" w:rsidDel="00000000">
        <w:rPr>
          <w:rtl w:val="0"/>
        </w:rPr>
        <w:t xml:space="preserve">. Sadarbības iestāde atklātu projektu iesniegumu atlasi organizē, atlases termiņus saskaņojot ar atbildīgo iestādi.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 ietvaros kā </w:t>
      </w:r>
      <w:r w:rsidR="00000000" w:rsidRPr="00000000" w:rsidDel="00000000">
        <w:rPr>
          <w:b w:val="1"/>
          <w:rtl w:val="0"/>
        </w:rPr>
        <w:t xml:space="preserve">finansējuma saņēmēji noteikti biedrības vai nodibinājumi, kas saskaņā ar to statūtiem īsteno veselības veicināšanas un/vai slimību profilakses pasākumus,</w:t>
      </w:r>
      <w:r w:rsidR="00000000" w:rsidRPr="00000000" w:rsidDel="00000000">
        <w:rPr>
          <w:rtl w:val="0"/>
        </w:rPr>
        <w:t xml:space="preserve">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Sabiedrības informēšana un izglītošana par atkarību profilaksi un seksuālo un reproduktīvo veselību ir specifiska, minētas tēmas ir sensitīvas un mērķgrupu uzrunāšanai nepieciešams meklēt īpašu pieeju, tāpēc pasākuma īstenošanā tiek paredzēts iesaistīt NVO, lai sniegtu nepieciešamo informāciju, zināšanas, prasmes un veicinātu izpratni konkrētām sabiedrības grupām, tādējādi motivējot ilgtermiņā mainīt paradumus. Tieši NVO iesaiste sabiedrības un specifisku mērķa grupu (jaunieši, vecāki) izglītošanā un izpratnes veicināšanā par seksuālās un reproduktīvās veselības un atkarību profilakses jautājumiem ir būtiska, jo NVO ir pieejami labāk zināmi veidi, kā uzrunāt un sasniegt mērķgrupas, kuri bieži vien nav pieejami valsts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iepriekšējā Eiropas Savienības struktūrfondu un Kohēzijas fondu plānošanas 2014.-2020. gada perioda pasākumu ieviešanas secināms, ka pašvaldības biežāk izvēlas tādas tēmas kā uzturs un fiziskās aktivitātes, bet retāk vai reti tādas kā atkarību profilakse vai seksuālā un reproduktīvā veselība, tādēļ NVO iesaiste ir ļoti būtiska.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Viens no veiksmīgas valsts ilgtspējīgas attīstības priekšnosacījumiem ir aktīva pilsoniskā sabiedrība. 2022. gada sākumā Latvijā Uzņēmumu reģistra Biedrību un nodibinājumu reģistrā kopumā bija reģistrētas 25 048 biedrības un nodibinājumi, tomēr pilsoniskās sabiedrības un līdzdalības jomā darbojas aptuveni 1 000 biedrību un nodibinājumu. Lai novērstu finansējuma samazināšanos biedrībām un nodibinājumiem, kas novājina pilsonisko sabiedrību, nepieciešams nodrošināt finanšu līdzekļu pieejamību pilsoniskās sabiedrības attīstībai dažādām sabiedrības grupām, kas sasniedzams, ieviešot sabiedrības drošumspējas jeb “no apakšas uz augšu” iniciatīvu, lai uzlabotu sociālo situāciju, stiprinātu cilvēkkapitālu un veicinātu tautsaimniecības attīstību. Ņemot vērā minēto, kā finansējuma saņēmēji 4.1.2.8. pasākumā tiek noteiktas biedrības un nodibinājumi, kuri īsteno veselības veicināšanas un slimību profilakses pasākumus. Biedrību un nodibinājumu atbilstība iepriekš minētajam nosacījumam tiks vērtēta pret to statūtos norādīto darbības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Pasākuma plānotais un pieejamais kopējais attiecināmais finansējums ir 3 000 000 </w:t>
      </w:r>
      <w:r w:rsidR="00000000" w:rsidRPr="00000000" w:rsidDel="00000000">
        <w:rPr>
          <w:b w:val="1"/>
          <w:i w:val="1"/>
          <w:rtl w:val="0"/>
        </w:rPr>
        <w:t xml:space="preserve">euro</w:t>
      </w:r>
      <w:r w:rsidR="00000000" w:rsidRPr="00000000" w:rsidDel="00000000">
        <w:rPr>
          <w:b w:val="1"/>
          <w:rtl w:val="0"/>
        </w:rPr>
        <w:t xml:space="preserve">, t.sk. ESF Plus finansējums – 2 550 000 </w:t>
      </w:r>
      <w:r w:rsidR="00000000" w:rsidRPr="00000000" w:rsidDel="00000000">
        <w:rPr>
          <w:b w:val="1"/>
          <w:i w:val="1"/>
          <w:rtl w:val="0"/>
        </w:rPr>
        <w:t xml:space="preserve">euro</w:t>
      </w:r>
      <w:r w:rsidR="00000000" w:rsidRPr="00000000" w:rsidDel="00000000">
        <w:rPr>
          <w:b w:val="1"/>
          <w:rtl w:val="0"/>
        </w:rPr>
        <w:t xml:space="preserve"> un valsts budžeta līdzfinansējums – 450 000 </w:t>
      </w:r>
      <w:r w:rsidR="00000000" w:rsidRPr="00000000" w:rsidDel="00000000">
        <w:rPr>
          <w:b w:val="1"/>
          <w:i w:val="1"/>
          <w:rtl w:val="0"/>
        </w:rPr>
        <w:t xml:space="preserve">euro</w:t>
      </w:r>
      <w:r w:rsidR="00000000" w:rsidRPr="00000000" w:rsidDel="00000000">
        <w:rPr>
          <w:b w:val="1"/>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pieteikuma iesniedzējs projekta iesniegumu iesniedz atsevišķi pa jomām (seksuālās un reproduktīvās veselības veicināšana un atkarību mazināšana un profilakse), projektu iesniegumus izvērtē katra reģiona ietvaros, attiecīgi nosakot, kurš no projekta iesniedzējiem katrā jomā ir saņēmis lielāko punktu skaitu katrā reģionā. Projekta iesniegumu var iesniegt par pasākumu nodrošināšanu visos Latvijas plānošanas reģionos (Kurzemes plānošanas reģions, Latgales plānošanas reģions, Rīgas plānošanas reģions, Vidzemes plānošanas reģions un Zemgales plānošanas reģions) vai kādā (kādos) atsevišķā reģionā (atsevišķos reģionos).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Projektu īstenošana plānota abās jomās un visos piecos plānošanas reģionos, paredzot finansējuma apjomu vienai jomai un vienam reģionam 300 000 </w:t>
      </w:r>
      <w:r w:rsidR="00000000" w:rsidRPr="00000000" w:rsidDel="00000000">
        <w:rPr>
          <w:i w:val="1"/>
          <w:rtl w:val="0"/>
        </w:rPr>
        <w:t xml:space="preserve">euro</w:t>
      </w:r>
      <w:r w:rsidR="00000000" w:rsidRPr="00000000" w:rsidDel="00000000">
        <w:rPr>
          <w:rtl w:val="0"/>
        </w:rPr>
        <w:t xml:space="preserve"> apmērā, kā arī paredzot, ka kopējais finansējuma apjoms vienā jomā visos plānošanas reģionos ir 1 500 000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projektu iesniegumu atlasē neapstiprina projektu iesniegumus par visu projektu iesniegumu atlases kārtai pieejamo kopējo attiecināmo finansējumu, t.i. atlases gala rezultātā kādā no Latvijas reģioniem netiks nodrošināti pasākumi, tiks izsludināta nākamā projektu iesniegumu atlases kārta, par atlikušo finansējumu. Tādā veidā nodrošinot, ka pasākumi tiks īstenoti visos reģionos un abās jomās.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plānošanas reģioni (Kurzemes plānošanas reģions, Latgales plānošanas reģions, Rīgas plānošanas reģions, Vidzemes plānošanas reģions un Zemgales plānošanas reģions) ir noteikti Reģionālās attīstības likumā. Plānošanas reģiona teritorijas nosaka Ministru kabineta 2021. gada  22. jūnija noteikumi Nr. 418 „Noteikumi par plānošanas reģiona teritorijām”.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Projektiem, kuru kopējās izmaksas (ieskaitot pievienotās vērtības nodokli (PVN)) ir mazākas par 5 000 000 </w:t>
      </w:r>
      <w:r w:rsidR="00000000" w:rsidRPr="00000000" w:rsidDel="00000000">
        <w:rPr>
          <w:i w:val="1"/>
          <w:rtl w:val="0"/>
        </w:rPr>
        <w:t xml:space="preserve">euro</w:t>
      </w:r>
      <w:r w:rsidR="00000000" w:rsidRPr="00000000" w:rsidDel="00000000">
        <w:rPr>
          <w:rtl w:val="0"/>
        </w:rPr>
        <w:t xml:space="preserve"> (ieskaitot PVN), PVN izmaksas ir attiecināmas.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4.1.2.8. pasākumā ir paredzētas šādas atbalstāmās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projekta vadība un tā īstenošanas 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veselības veicināšanas un slimību profilakses pasākumi (intervences)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komunikācijas un vizuālās identitātes prasību un piekļūstamības nodrošināšanas pasākumi.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 ietvaros atbalstāmas sekojošas darbības </w:t>
      </w:r>
      <w:r w:rsidR="00000000" w:rsidRPr="00000000" w:rsidDel="00000000">
        <w:rPr>
          <w:u w:val="single"/>
          <w:rtl w:val="0"/>
        </w:rPr>
        <w:t xml:space="preserve">atkarību mazināšanas un profilakses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dažādiem vecumposmiem atbilstošas (bērniem, jauniešiem) </w:t>
      </w:r>
      <w:r w:rsidR="00000000" w:rsidRPr="00000000" w:rsidDel="00000000">
        <w:rPr>
          <w:b w:val="1"/>
          <w:u w:val="single"/>
          <w:rtl w:val="0"/>
        </w:rPr>
        <w:t xml:space="preserve">intervences (pasākumi) dzīves prasmju attīstīšanai.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Izglītojoši pasākumi un jauniešiem (piemēram, nodarbību cikli, intervijas, video sociālās platformās un tīklos u.c.) par atkarību izraisošo vielu lietošanas ietekmi uz veselību un ar to saistītājiem riskiem. Pasākumi, kas attīsta bērnu/jauniešu prasmes un kompetences personiskajā pašaprūpē, veselīgu paradumu izveidošanā un uzturēšanā, emociju pašregulācijā, veicinot prasmes tikt galā ar pozitīvām un negatīvām emocijām veselīgā veidā, tai skaitā stresu; savstarpējā komunikācijā, attīstot prasmes starppersonisko attiecību izveidošanā ar ģimenes locekļiem, draugiem, pieaugušajiem; kritiskā domāšanā, veicinot indivīda prasmes objektīvā informācijas izvērtēšanā, problēmu risināšanā un lēmumu pieņemšanā, nodrošinot pasākuma pēctecību un cikliskumu, kā arī bērniem un jauniešiem piemērotus komunikācijas kanālus un inovatīvas metodes mērķgrupas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rtl w:val="0"/>
        </w:rPr>
        <w:t xml:space="preserve">Intervences (pasākumi) ģimenēm (vecāku, aizbildņu, audžuģimeņu, bērnu aprūpes iestāžu darbinieku) </w:t>
      </w:r>
      <w:r w:rsidR="00000000" w:rsidRPr="00000000" w:rsidDel="00000000">
        <w:rPr>
          <w:b w:val="1"/>
          <w:u w:val="single"/>
          <w:rtl w:val="0"/>
        </w:rPr>
        <w:t xml:space="preserve">prasmju attīstīšanai un agrīna preventīva atbalsta nodrošināšanai.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Izglītojoši pasākumi (piemēram, lekciju cikli, semināru cikli, tiešsaistes semināru cikli, regulāras komunikācijas aktivitātes un publikācijas) ģimenēm (topošajiem un esošajiem vecākiem, aizbildņiem, audžuģimenēm, t.sk. bērnu aprūpes iestādē), kas sekmē pozitīvu bērna attīstību un veselīgu paradumu veidošanos, lai mazinātu atkarības izraisošo vielu un procesu lietošanas riska faktoru izplatību ģimenēs, sniedzot informāciju par bērnu un pusaudžu atkarību raisošu vielu lietošanas un procesu atkarības pazīmju agrīnu atpazīšanu, profilaksi un palīdzības iespējām, sarunu vadīšanu ar pusaudžiem, sirsnīgā bērnu audzināšanā, noteikumu izvirzīšanā par to, kas ir pieņemama rīcība, bērnu uzraudzīšanā, kontrolējot ar ko bērni nodarbojas brīvajā laikā un ar ko viņi draudzējas; pozitīvas un vecumam atbilstošas disciplīnas veicināšanā; piedalīšanās bērna mācību un izglītošanas procesā; pašu vecāku kļūšana par piemēru bērniem, t.sk. izmantojot jau valsts iestāžu (SPKC, VM) izstrādātos informatīvos materiālus un programmas atkarību profilakses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Pasākumi jauno ģimeņu izglītošanā, sniedzot individualizētu atbalstu - informāciju un praktisku palīdzību gan grūtniecības laikā, gan uzsākot vecāku pienākumu pildīšanu. Pasākumi pirmreizējiem topošiem un jaunajiem vecākiem (primāri grūtniecēm), kuri ir pakļauti ekonomiskiem un/vai sociāliem nevienlīdzības riskiem, piemēram, grūtniecēm ar zemu ienākumu līmeni vai/un maznodrošinātas personas statusu, grūtniecēm ar invaliditātes statusu, psihiskas veselības vai atkarību problēmām, nepilngadīgām vai gados jaunām grūtniecēm. Intervenču īstenošana, kas paredz pasākumus informācijas sniegšanā par veiksmīgas grūtniecības un dzemdību priekšnosacījumiem, tai skaitā vielu lietošanas ietekmi uz jaundzimušā veselību, attīsta vecākiem jaundzimušā/zīdaiņa/bērna aprūpes prasmes, sniedz rekomendācijas dzīves vietas piemērotības un tās pielāgošanai zīdainim drošu apstākļu radīšanā.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ietvaros netiks atbalstīta Sociālā dienesta atbildībā esošo uzdevumu veikšana.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b w:val="1"/>
          <w:u w:val="single"/>
          <w:rtl w:val="0"/>
        </w:rPr>
        <w:t xml:space="preserve">Atkarību profilakse un kaitējuma mazināšana izklaides vietās.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Pasākumi (intervences) izklaides vietu (piemēram, koncertu un festivālu) apmeklētājiem, lai mazinātu kaitējoši pārmērīgu atkarību izraisošu vielu lietošanu izklaides vietās un vielu lietošanas potenciāli radītos riskus, radot drošu vidi visiem izklaides vietu apmeklētājiem, ierobežojot psihoaktīvo vielu ienešanu, izplatīšanu un lietošanu izklaides vietās un izklaides pasākumos, kā arī samazinot psihoaktīvo vielu lietošanas rezultātā izraisītos veselības traucējumus un negadījumu risku. Intervenču īstenošanā var tikt izstrādāti un izmantoti dažādi informatīvi un izglītojoši resursi drukātā vai/un digitālā formātā vai izmantoti jau pieejami resursi. Tāpat intervences var tikt koordinētas, iesaistot kopienas ieinteresētās personas, palīdzības dienestus, regulējošās un tiesībsargājošās iestādes, un pašus jauniešus. Kā arī var tikt paredzēta profilakses un kaitējuma mazināšanas informācijas nodrošināšana izklaides pasākumu organizētājiem, t.sk. informācijas izvietošana ar izklaides vietas politiku un iekšējās kārtības noteikumiem izklaides vietās apmeklētājiem un personālam redzamā vietā.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Darbību īstenošanas rezultātā plānots, ka tiks:</w:t>
      </w:r>
      <w:r w:rsidR="00000000" w:rsidRPr="00000000" w:rsidDel="00000000">
        <w:rPr>
          <w:i w:val="1"/>
          <w:rtl w:val="0"/>
        </w:rPr>
        <w:t xml:space="preserve">1. sniegtas papildus zināšanas bērniem un jauniešiem par atkarību izraisošo vielu un procesu lietošanas kaitīgo ietekmi un attīstītas prasmes kritiskajā domāšanā, pašaprūpē, emociju regulēšanā, savstarpējā komunikācijā, problēmu risināšanā, kopumā mainot bērnu un jauniešu attieksmi pret atkarību izraisošo vielu lietošanu. </w:t>
      </w:r>
      <w:r w:rsidR="00000000" w:rsidRPr="00000000" w:rsidDel="00000000">
        <w:rPr>
          <w:i w:val="1"/>
          <w:rtl w:val="0"/>
        </w:rPr>
        <w:t xml:space="preserve">2. sniegtas papildus zināšanas un prasmes, kas veicinātu vecāku izpratni par atkarību izraisošajiem riska faktoriem, agrīnu atkarību atpazīšanu, sarunu vadīšanu par atkarību profilakses jautājumiem, pozitīvas un vecumam atbilstošas disciplīnas veicināšanā, kā par palīdzības saņemšanas iespējām. </w:t>
      </w:r>
      <w:r w:rsidR="00000000" w:rsidRPr="00000000" w:rsidDel="00000000">
        <w:rPr>
          <w:i w:val="1"/>
          <w:rtl w:val="0"/>
        </w:rPr>
        <w:t xml:space="preserve">3. nodrošināti kaitējuma mazināšanas pasākumi izklaides vietu apmeklētājiem, kā arī  informācija izklaides pasākumu organizētājiem, lai mazinātu kaitējoši pārmērīgu atkarību izraisošu vielu lietošanu izklaides vietās un vielu lietošanas potenciāli radītos riskus.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 ietvaros atbalstāmas sekojošas darbības </w:t>
      </w:r>
      <w:r w:rsidR="00000000" w:rsidRPr="00000000" w:rsidDel="00000000">
        <w:rPr>
          <w:u w:val="single"/>
          <w:rtl w:val="0"/>
        </w:rPr>
        <w:t xml:space="preserve">seksuālās un reproduktīvās veselības veicināšana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w:t>
      </w:r>
      <w:r w:rsidR="00000000" w:rsidRPr="00000000" w:rsidDel="00000000">
        <w:rPr>
          <w:b w:val="1"/>
          <w:rtl w:val="0"/>
        </w:rPr>
        <w:t xml:space="preserve">dažādiem vecumposmiem (bērni, pusaudži, jaunieši; jaunieši ar psihiskās veselības traucējumiem, intelektuālās attīstības vai citiem funkcionāliem traucējumiem) </w:t>
      </w:r>
      <w:r w:rsidR="00000000" w:rsidRPr="00000000" w:rsidDel="00000000">
        <w:rPr>
          <w:b w:val="1"/>
          <w:u w:val="single"/>
          <w:rtl w:val="0"/>
        </w:rPr>
        <w:t xml:space="preserve">atbilstoši informēšanas pasākumi par seksuālās un reproduktīvās veselības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Izglītojoši pasākumi bērniem un jauniešiem (nodarbību cikli, raidieraksti (podkāsti), intervijas, proaktīvas aktivitātes un video sociālās platformās un tīklos u.c.). Pasākumi, kuri palielina izpratni par seksuālās un reproduktīvās veselības jautājumiem un iekļauj šādas tēmas (pubertāte, ķermeņa pārmaiņas, t.sk. psiholoģiskie aspekti, attiecību veidošana un seksuālo attiecību uzsākšana; drošas attiecības internetā - sekstings; grūmings; kontracepcijas metodes un seksuāli transmisīvo infekciju profilakse, nevēlama grūtniecība; u.c.), izmantojot pierādījumos balstītus un jau izstrādātus, ieviestus (piem., SPKC, VM) materiālus un programmas seksuālās un reproduktīvās veselības jomā, nodrošinot pasākuma pēctecību un cikliskumu, kā arī bērniem un jauniešiem piemērotu komunikācijas kanālu un inovatīvu metožu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w:t>
      </w:r>
      <w:r w:rsidR="00000000" w:rsidRPr="00000000" w:rsidDel="00000000">
        <w:rPr>
          <w:b w:val="1"/>
          <w:u w:val="single"/>
          <w:rtl w:val="0"/>
        </w:rPr>
        <w:t xml:space="preserve">informēšanas pasākumi ģimenēm (vecākiem, aizbildņiem, audžuģimenēm, personām, kas bērnu aprūpes iestādēs strādā ar bērniem) par seksuāli reproduktīvās veselības jautājumiem</w:t>
      </w:r>
      <w:r w:rsidR="00000000" w:rsidRPr="00000000" w:rsidDel="00000000">
        <w:rPr>
          <w:b w:val="1"/>
          <w:rtl w:val="0"/>
        </w:rPr>
        <w:t xml:space="preserve">, t.sk. sarunu vadīšanu ar bērnu par attiecīgajiem jautājumiem.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Izglītojoši pasākumi (semināri, tiešsaistes semināri, lekciju cikli, regulāras komunikācijas aktivitātes u.c.) vecākiem, kas palīdz uzlabot komunikācijas un sarunu vadīšanas prasmes ar pusaudžiem par seksuālo un reproduktīvo veselību, t.sk. sniedz informāciju par dažādos vecumposmos aktuāliem seksuālās un reproduktīvās veselības jautājumiem, par bērnu un pusaudžu uztveres un attīstības īpatnībām, kā arī atvērtas komunikācijas un sarunas veidošanas pamatprincipiem, izmantojot jau izstrādātus, ieviestus (piem., SPKC, VM) materiālus un programmas seksuālās un reproduktīvās veselības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Darbību īstenošanas rezultātā plānots, ka tiks:</w:t>
      </w:r>
      <w:r w:rsidR="00000000" w:rsidRPr="00000000" w:rsidDel="00000000">
        <w:rPr>
          <w:i w:val="1"/>
          <w:rtl w:val="0"/>
        </w:rPr>
        <w:t xml:space="preserve">1) sniegtas papildus zināšanas un prasmes bērniem un jauniešiem, un veicināta izpratne par seksuālo un reproduktīvo veselību, par seksualitāti, drošu un cieņpilnu attiecību veidošanu, kā arī kliedēti izplatītākie mīti. </w:t>
      </w:r>
      <w:r w:rsidR="00000000" w:rsidRPr="00000000" w:rsidDel="00000000">
        <w:rPr>
          <w:i w:val="1"/>
          <w:rtl w:val="0"/>
        </w:rPr>
        <w:t xml:space="preserve">2) sniegtas papildus zināšanas un prasmes vecākiem un veicināta izpratne par seksuālās un reproduktīvās veselības jautājumiem, par sarunu vadīšanu un komunikāciju ar bērnu vai pusaudzi par seksuālās un reproduktīvās veselības jautājumiem, seksualitāti, drošu un cieņpilnu attiecību veidošanu.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2012. gada 3. aprīļa noteikumos Nr. 241 “Slimību profilakses un kontroles centra nolikums” [3] (turpmāk – SPKC nolikums) noteikts, ka SPKC darbības mērķis ir īstenot valstī sabiedrības veselības politiku epidemioloģiskās drošības un slimību profilakses apakšjomās un veselības aprūpes politiku veselības aprūpes kvalitātes apakšjomā, kā arī nodrošināt veselības veicināšanas politikas īstenošanu un koordināciju. Atbilstoši SPKC nolikumā noteiktajam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un reģionālā līmenī koordinē veselības veicināšanas pasākumu īstenošanu (4.1.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sagatavo informāciju, izstrādā metodiskos ieteikumus un sniedz metodisko atbalstu valsts un pašvaldību institūcijām, ārstniecības iestādēm, nevalstiskajām organizācijām, citām juridiskām un fiziskām personām jautājumos, kas saistīti ar epidemioloģisko drošību, slimību profilaksi un veselības veicināšanu (4.4. 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Lai nodrošinātu finansējuma saņēmēja īstenoto veselības veicināšanas un slimību profilakses pasākumu kvalitāti un atbilstību projekta sasniedzamajiem mērķiem: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projektu iesniegumu vērtēšanas laikā tiks izvērtēta plānoto pasākumu atbilstība SPKC izstrādātajām vadlīnijām NVO atbalstāmajām un pierādījumos balstītajām iniciatīvām (pasākumiem) (turpmāk – SPKC vadlīnijas) dažādām mērķa grupām katrā no jomām;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finansējuma saņēmējam pēc SPKC pieprasījuma būs pienākums informāciju par plānoto pasākumu saturu, t.sk. izstrādātiem informatīvajiem materiāliem, iesniegt SPKC;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finansējuma saņēmējam būs tiesības vērsties SPKC, lai saņemtu konsultācijas pasākumu saturiskajos jautājumos atbilstoši SPKC vadlīnijām. SPKC pienākums būs savas kompetences un kapacitātes ietvaros sniegt konsultācijas.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Informāciju par SPKC komunikāciju ar finansējuma saņēmēju SPKC pārsūtīs sadarbības iestādei zināšanai.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Vērtējot plānoto 4.1.2.8. pasākuma ietekmi uz tautsaimniecību, t.sk. norādot pēc iespējas izmērāmus faktiski sagaidāmos rezultātus/ rādītājus, skaidrojam, ka pasākuma ietvaros īstenotās investīcijas ir vērstas uz Latvijas Nacionālajā attīstības plānā 2021. – 2027. gadam noteiktajiem mērķiem, proti, sabiedrības veselības politikas rezultatīvo rādītāju sasniegšanu, atbilstoši – mirstības no pašnāvībām un potenciāli zaudēto mūža gadu samazināšanu: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40"/>
        <w:gridCol w:w="2330"/>
        <w:gridCol w:w="2220"/>
        <w:gridCol w:w="2048"/>
        <w:tblGridChange w:id="0">
          <w:tblGrid>
            <w:gridCol w:w="2440"/>
            <w:gridCol w:w="2330"/>
            <w:gridCol w:w="2220"/>
            <w:gridCol w:w="204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Progresa rādītājs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Bāzes gads – 2018.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Mirstība no pašnāvībām uz 100 000 iedzīvotāju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(avots: SPKC)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Potenciāli zaudētie mūža gadi uz 100 000 iedzīvotāju līdz 64 gadu vecumam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(avots: SPKC)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5235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4950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4350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pasākums ir saistīts ar  Latvijas Nacionālā attīstības plāna 2021. – 2027. gadam rīcības virzienu “Psiholoģiskā un emocionālā labklājība” un veicinās arī progresa rādītāju Nr. 80 “Pēdējā gada laikā pārmērīgi alkoholu lietojušo īpatsvars darbspējas vecumā”; Nr. 81 “Ikdienas smēķēšanas paraduma izplatība cilvēkiem darbspējas vecumā”, Nr. 85 “Atbalsts vecāku prasmju pilnveidošanai, uzlabojot bērnu un jauniešu psiholoģisko un emocionālo labklājību un mazinot psihiskās veselības un mācīšanās traucējumu veidošanās riskus nākotnē”, Nr. 86 “Pierādījumos balstīti efektīvi un inovatīvi risinājumi atkarību izraisošo vielu un procesu izplatības ierobežošanai un pārmērīga un kaitējoša patēriņa mazināšanai, uzlabojot sabiedrības kognitīvās spējas un psihisko veselību” un Nr. 88 “Uzlabojot psiholoģisko un emocionālo veselību, seksuālās un reproduktīvās veselības stiprināšana sabiedrībā un infekciju slimību izplatības risku mazināšana”.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4.1.2.8. pasākuma ietvaros paredzētas šādas attiecināmās izmaksas:</w:t>
      </w:r>
      <w:r w:rsidR="00000000" w:rsidRPr="00000000" w:rsidDel="00000000">
        <w:rPr>
          <w:u w:val="single"/>
          <w:rtl w:val="0"/>
        </w:rPr>
        <w:t xml:space="preserve">1. tiešās attiecināmās personāla izmaksas</w:t>
      </w:r>
      <w:r w:rsidR="00000000" w:rsidRPr="00000000" w:rsidDel="00000000">
        <w:rPr>
          <w:rtl w:val="0"/>
        </w:rPr>
        <w:t xml:space="preserve">, kas ietver finansējuma saņēmēja projekta vadības un īstenošanas personāla atlīdzības izmaksas, izņemot virsstundas. Ja personāla iesaiste projektā ir nodrošināta saskaņā ar daļlaika izmaksu attiecināmības principu, attiecināma ir ne mazāka kā 30 procentu noslodze. Ja personāls ir nodarbināts nepilnu darba laiku, atlīdzības izmaksas nosakāmas atbilstoši nepilnā darba laika noslodzei. Personāla atlīdzības izmaksām jābūt atbilstošām finansējuma saņēmēja iestādes atlīdzības sistēmā noteiktajai samaksai par līdzvērtīga darba veikšanu vai atbilstošām vidējai darba samaksai pēc Latvijas Republikas CSP datiem par līdzvērtīgu darbu attiecīgajā nozarē. Tiešās attiecināmās personāla izmaksas ietver, tai skaitā personāla atlīdzības izmaksas, kas rodas, noslēdzot darba līgumu starp darba devēju un darbinieku un noslēdzot uzņēmuma līgumu par konkrēta uzdevuma veikšanu. Minētais nozīmē, ka tiešās attiecināmās personāla izmaksas ietver arī finansējuma saņēmēja uz uzņēmuma (pakalpojuma) līguma (t.i. ārpakalpojumā) piesaistīta projekta vadības un īstenošanas personāla atlīdzības izmaksas.[4] Tādējādi biedrība vai nodibinājums var piesaistīt ārpakalpojumā personālu atbalsta pasākumu un pakalpojumu nodrošināšanai 4.1.2.8. pasākuma ietvaros. Vienlaikus uzņēmuma (pakalpojuma) līgumā personāla izmaksām ir jābūt skaidri identificējamām. Piemēram, ja finansējuma saņēmējs (t.i. biedrība vai nodibinājums) ārpakalpojuma līgumā uztic ārējam pasniedzējam nodarbību vadīšanu, dažādie izmaksu veidi ir jānorāda rēķinā. Pasniedzēja alga tiks uzskatīta par ārēja personāla izmaksām. Ja personāla izmaksas par pasniedzēja darbu nav identificējamas kā kategorija, kas atšķiras no tādām citām izmaksu kategorijām kā, piemēram, mācību materiālu nodrošināšana, tās nevar izmantot par pamatu vienotajām likmēm, piemēram, vienotajai likmei 40 %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u w:val="single"/>
          <w:rtl w:val="0"/>
        </w:rPr>
        <w:t xml:space="preserve">2. pārējās attiecināmās izmaksas</w:t>
      </w:r>
      <w:r w:rsidR="00000000" w:rsidRPr="00000000" w:rsidDel="00000000">
        <w:rPr>
          <w:rtl w:val="0"/>
        </w:rPr>
        <w:t xml:space="preserve">, ko finansējuma saņēmējs plāno kā vienu izmaksu pozīciju 40 procentu apmērā no tiešajām attiecināmajām personāla izmaksām.[5] Tās būs izmaksas, kas nepieciešamas projekta darbību īstenošanai, piemēram, pasākuma sniegšanai nepieciešamo palīgmateriālu, kancelejas preču, telpu nomas, horizontālā principa “Vienlīdzība, iekļaušana, nediskriminācija un pamattiesību ievērošana” darbību īstenošanas izmaksas (t.sk. pandusu nomas, indukcijas cilpu nomas, zīmju valodas tulku un vieglās valodas tulkošanas pakalpojumu izmaksas, subtitrēšanas un reāllaika transkripcijas pakalpojumu izmaksas, ja tas ir nepieciešams vides un informācijas piekļūstamības nodrošināšanai), kā arī komunikācijas pasākumu izmaksas, netiešās attiecināmās izmaksas u.c.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ietver komunikācijas un vizuālās identitātes prasību nodrošināšanas nosacījumu ievērošanu atbilstoši regulas Nr. 2021/1060 47. pantam un 50. pantam un normatīvajiem aktiem, kas nosaka kārtību, kādā Eiropas Savienības fondu vadībā iesaistītās institūcijas nodrošina šo fondu ieviešanu 2021.–2027. gada plānošanas periodā (proti, Ministru kabineta 2023. gada 13. jūlija noteikumiem Nr. 408 “Kārtība, kādā Eiropas Savienības fondu vadībā iesaistītās institūcijas nodrošina šo fondu ieviešanu 2021.–2027. gada plānošanas periodā”), kā arī Eiropas Savienības fondu 2021.–2027. gada plānošanas perioda un Atveseļošanas fonda komunikācijas un dizaina vadlīnijām.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4.1.2.8. pasākumā tiek piemērota 40 procentu vienotā likme, lai segtu parējās projekta izmaksas, tad saskaņā ar Regula (ES) 2021/1060 53. panta 1. punkta a) apakšpunktu, bāzes izmaksas, no kurām rēķina vienoto likmi var būt kā faktiskās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citu vienkāršoto izmaksu piemērošanu 4.1.2.8. pasākumā papildus TA projektā noteiktajam, jāatzīmē, ka šobrīd tās nav iespējams piemērot. Vienas vienības izmaksas personāla atlīdzībai nav iespējams noteikt, ņemot vērā, ka nav zināmas biedrības un nodibinājumi, kas iesniegs projektus finansējuma saņemšanai pasākuma ietvaros, tāpat nav zināms, kādus tieši veselības veicināšanas un/vai slimību profilakses pasākumus tās īstenos.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25. aprīļa noteikumu Nr. 205 punktā Nr. 18 noteikts “Ja finansējuma saņēmējs ir biedrība vai nodibinājums, tad avansa un starpposma maksājuma kopsumma var būt līdz 95 % no projektam piešķirtā Eiropas Savienības fonda finansējuma un, ja tas ir paredzēts projektā, valsts budžeta līdzfinansējuma kopsummas, ja šāda avansa un starpposma maksājumu kopsumma ir paredzēta normatīvajā aktā par SAM īstenošanu, kā arī sadarbības iestāde saskaņā ar šo noteikumu 9. punktā noteikto kārtību ir atzinusi avansa pieprasījumu par pamatotu.” Pasākuma ietvaros noteiktajiem finansējuma saņēmējiem savu ierobežoto līdzekļu pieejamības dēļ iespējami sarežģījumi projekta īstenošanas noslēgumā nodrošināt priekšfinansējumu 10 procentu apmērā. Tāpēc, lai atbalstītu biedrību un nodibinājumu apstiprināto projektu sekmīgu īstenošanu, tiek paredzēts, ka projekta atbalstāmo darbību īstenošanas izmaksu veikšanai sadarbības iestāde finansējuma saņēmējam var veikt avansa un starpposma maksājumus, kuru kopsumma nepārsniedz 95 procentus no projekta apstiprinātā kopējā attiecināmā finansējuma. Vienlaikus konkrētajam avansa maksājuma pieprasījumam ir jābūt pamatotam, jo sadarbības iestāde vērtēs tā pieprasīšanai iesniegtos pamatojošos dokumentus un citus ar pamatotību saistītos riskus, tai skaitā finansējuma saņēmēja spēju izlietot avansu pieprasītajā apmērā.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ES Savienības Kohēzijas politikas programmai 2021.–2027. gadam 4.1.2.8. pasākuma finansējuma sadalījums pa intervences kodiem ir sekojošs: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intervences kategorijā “Intervences laukums” Nr. 147 “Pasākumi, kas veicina aktīvas un veselīgas vecumdienas” – ESF+ finansējums 2 550 000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intervences kategorijā “Finansējuma veids” Nr. 1 “Dotācija” - ESF+ finansējums 2 550 000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intervences kategorijā “Teritoriālie sasniegšanas mehānismi” Nr. 33 “Bez teritoriālā mērķa” - ESF+ finansējums 2 550 000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intervences kategorijā “ESF+ sekundārās tēmas” Nr. 10 “Eiropas pusgadā apzināto problēmu risināšana” - ESF+ finansējums 2 550 000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intervences kategorijā “Dzimumu līdztiesība” Nr. 2 “Dzimumu līdztiesības aspekta integrēšana” - ESF+ finansējums 2 550 000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regulas Nr. 2021/1060 18. un 86. pantā noteikto SAM 4.1.2. elastības finansējums tiek noteikts 4.1.2.1. pasākuma “Nacionālā mēroga veselības veicināšanas un slimību profilakses pasākumi” (turpmāk - 4.1.2.1. pasākums) un 4.1.2.6. “Uzlabot izglītības iespējas ārstniecības personām, t.sk. uzlabojot tālākizglītības pieejamību” (turpmāk – 4.1.2.6. pasākums) ietvaros. Attiecīgi 4.1.2.1. un 4.1.2.6. pasākumam ir noteikts pieejamais un plānotais finansējums. Atbildīgā iestāde, pēc Eiropas Komisijas lēmuma par vidusposma pārskata, var ierosināt palielināt 4.1.2.1. un 4.1.2.6. pasākumam pieejamo kopējo finansējumu līdz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24"/>
        <w:gridCol w:w="3313"/>
        <w:gridCol w:w="2373"/>
        <w:gridCol w:w="2130"/>
        <w:tblGridChange w:id="0">
          <w:tblGrid>
            <w:gridCol w:w="1224"/>
            <w:gridCol w:w="3313"/>
            <w:gridCol w:w="2373"/>
            <w:gridCol w:w="213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Nr.</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Pasākuma 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r w:rsidR="00000000" w:rsidRPr="00000000" w:rsidDel="00000000">
              <w:rPr>
                <w:sz w:val="24"/>
                <w:rtl w:val="0"/>
              </w:rPr>
              <w:t xml:space="preserve"> (ieskaitot elastības finansējumu), </w:t>
            </w:r>
            <w:r w:rsidR="00000000" w:rsidRPr="00000000" w:rsidDel="00000000">
              <w:rPr>
                <w:sz w:val="24"/>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ES fondu finansējums</w:t>
            </w:r>
            <w:r w:rsidR="00000000" w:rsidRPr="00000000" w:rsidDel="00000000">
              <w:rPr>
                <w:sz w:val="24"/>
                <w:rtl w:val="0"/>
              </w:rPr>
              <w:t xml:space="preserve"> (BEZ elastības finansējuma), e</w:t>
            </w:r>
            <w:r w:rsidR="00000000" w:rsidRPr="00000000" w:rsidDel="00000000">
              <w:rPr>
                <w:sz w:val="24"/>
                <w:i w:val="1"/>
                <w:rtl w:val="0"/>
              </w:rPr>
              <w:t xml:space="preserve">uro</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Nacionāla mēroga veselības veicināšanas un slimību profilakses pasākumi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11 207 658</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7 199 882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Veselības veicināšana un slimību profilakse pašvaldībās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12 575 937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12 575 937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Pasākumi atkarīgo personu resocializācijai un atgriešanai darba tirgū, kā arī preventīvie pasākumi jauniešiem (pasākuma ieviesējs – Finanšu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961 350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961 350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Pierādījumos balstītu narkotiku lietošanas profilakses programmu īstenošana un profilakses kvalitātes standartu ieviešana (indikatīvi pasākuma ieviesējs – Iekšlietu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443 700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Piesaistīt un noturēt ārstniecības personas darbam valsts apmaksāto veselības aprūpes pakalpojumu sektorā, īpaši stacionāros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5 686 755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5 686 755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Uzlabot izglītības iespējas ārstniecības personām, t.sk. uzlabojot tālākizglītības pieejamību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14 790 000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10 782 224</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Pilnveidot pacientu drošību un aprūpes kvalitāti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2 588 250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2 588 250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4.1.2.8.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Nevalstisko organizāciju iesaiste veselības veicināšanas un slimību profilakses pasākumu īstenošanā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2 550 000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2 550 000</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4.1.2. specifiskā atbalsta mērķa finansējums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50 803 650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42 788 098</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pasākumā plānotām atbalstāmām darbībām (t.i. lekcijām, semināriem, tiešsaistes semināriem, nodarbību cikliem, raidierakstiem, intervijām, video sociālās platformās u.c.) nav ekonomisks raksturs. Pat, ja atsevišķu pasākumu nodrošināšana varētu tikt uzskatīta par ekonomiska rakstura aktivitātēm, vietējo biedrību un nodibinājumu atbalstam ir maza mēroga ietekme uz ES iekšējo tirgu, jo balstās uz sociālās dimensijas (sociālā kapitāla), nevis ekonomiskas attīstības veicināšanu. Arī potenciālo atbalsta saņēmēju personāla izmaksām ir jāatbilst Latvijas Republikas Centrālās statistikas pārvaldes datiem par līdzvērtīgu darbu attiecīgajā nozarē.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pasākumam ir limitēta ietekme uz pārrobežu sadarbību,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pasākuma tiešais mērķis nav atbalstīt biedrības un nodibinājumus, kas ietekmētu to izvēli veidot filiāli/struktūrvienību Latvijā, bet gan nodrošināt veselības veicināšanas un/vai slimību profilakses pasākumus;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valodas barjeras samazina iespēju, ka citu valstu šāda veida pasākumu sniedzēji būs ieinteresēti sniegt tos Latvijā, jo tie nespēs nodrošināt kvalitatīvus veselības veicināšanas/slimību profilakses pasākumus (t.sk. komunikāciju ar mērķa grupas personām un atbildīgajām iestādēm) bez nepieciešamajām valodas (t.i., latviešu) prasmēm. Savukārt, lai spētu nodrošināt pasākumus latviešu valodā, potenciālajam pakalpojuma sniedzējam no cita tirgus būtu nepieciešams apmācīt esošos darbiniekus vai pieņemt jaunus darbiniekus ar nepieciešamajām valodas zināšanām, kas rada papildu administratīvo slogu. Pasākumus nodrošinās biedrības un nodibinājumi, kas darbojas tikai ierobežotā lokālā līmenī un tie konkurē tikai vietējā līmenī, kas padara ietekmi uz ES tirgu par marginālu.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Ņemot vērā minēto, 4.1.2.8. pasākums nav uzskatāms par komercdarbības atbalstu</w:t>
      </w:r>
      <w:r w:rsidR="00000000" w:rsidRPr="00000000" w:rsidDel="00000000">
        <w:rPr>
          <w:rtl w:val="0"/>
        </w:rPr>
        <w:t xml:space="preserve">, tādēļ TA projekts paredz, ka pasākuma ietvaros netiek plānots atbalsts tādām finansējuma saņēmēja darbībām, kurām atbalsts atbilstoši Komercdarbības atbalsta kontroles likuma 5. pantā noteiktajam būtu kvalificējams kā komercdarbības atbalsts. Ja finansējuma saņēmējs vienlaikus īsteno pasākuma atbalstāmās darbības un veic saimniecisko darbību, kurai saskaņā ar Komercdarbības atbalsta kontroles likumu būtu jāpiemēro komercdarbības atbalsta nosacījumi, finansējuma saņēmējs nodrošina šo darbību nodalīšanu.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Finansējuma saņēmējs nodrošina, ka projektā plānotās atbalstāmās darbības netiek finansētas vai līdzfinansētas, kā arī tās nav plānots finansēt vai līdzfinansēt no citiem valsts, pašvaldības vai ārvalstu finanšu atbalsta instrumentiem, t.sk., tiks nodrošināta PVN dubultā finansējuma riska novēršana. Kā vienu no demarkācijas un dubultfinansējuma riska novēršanas uzraudzības instrumentiem finansējuma saņēmējs var izmantot FM izstrādāto dubultfinansējuma riska kontroles matricu (pieejama šeit: https://matrica.fm.gov.lv/).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projektā lietotais termins “projekta pārskata periods” pielīdzināms projekta dzīves cikla periodam, kas nosakāms atbilstoši Komisijas 2014. gada 3. marta Deleģētās Regulas (ES) Nr. 480/2014, ar kuru papildina Eiropas Parlamenta un Padomes Regulu (ES) Nr. 1303/2013, ar ko paredz kopīgus noteikumus par Eiropas Reģionālās attīstības fondu, Eiropas Sociālo fondu, Kohēzijas fondu, Eiropas Lauksaimniecības fondu lauku attīstībai un Eiropas Jūrlietu un zivsaimniecības fondu un vispārīgus noteikumus par Eiropas Reģionālās attīstības fondu, Eiropas Sociālo fondu, Kohēzijas fondu un Eiropas Jūrlietu un zivsaimniecības fondu I pielikumā noteiktajam aktīvu amortizācijas perioda ilgumam.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PVO “Using economic evidence to help make the case for investing in health promotion and disease prevention”, 2018. https://apps.who.int/iris/bitstream/handle/10665/331981/Policy-brief-2-1997-8073-2018-eng.pdf?sequence=5&amp;isAllowed=y</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[2]https://www.emcdda.europa.eu/best-practice/xchange/good-behaviour-game_enTele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https://likumi.lv/ta/id/246288-slimibu-profilakses-un-kontroles-centra-nolikums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FM izstrādātās vadlīnijas Nr. 1.2. "Vadlīnijas attiecināmo izmaksu noteikšanai Eiropas Savienības kohēzijas politikas programmas 2021.-2027.gada plānošanas periodā". Pieejamas: https://www.esfondi.lv/normativie-akti-un-dokumenti/2021-2027-planosanas-periods/vadlinijas-attiecinamo-izmaksu-noteiksanai-eiropas-savienibas-kohezijas-politikas-programmas-2021-2027-gada-planosanas-perioda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Atbilstoši Eiropas Parlamenta un Padomes Regulas (ES) 2021/1060 (2021. gada 24. jūnijs),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56. panta 1.punktam nav jāveic aprēķins piemērojamās likmes noteikšanai.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finansējuma saņēmēja pienākumu nodrošināt, ka 4.1.2.8. pasākumā paredzētās atbalstāmās darbības netiek finansētas vai līdzfinansētas, kā arī tās nav plānots finansēt vai līdzfinansēt no citiem valsts, pašvaldības vai ārvalstu finanšu atbalsta instrumentiem.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Pārklāšanās ar Labklājības ministrijas īstenoto 4.3.6.5. pasākumu nav konstatējama, jo 4.3.6.5. pasākuma mērķis ir laikus identificēt bērnu uzvedības vai atkarību problēmu veidošanās risku un nodrošināt savlaicīgu un vajadzībām atbilstošu pakalpojumu un atbalsta sniegšanu uzvedības traucējumu un atkarību problēmu risināšanai. 4.3.6.5. pasākuma mērķa grupa ir ģimenes ar bērniem ar uzvedības vai atkarību problēmām vai to attīstības risku, tai skaitā audžuģimenes un aizbildņi un bērni ar uzvedības vai atkarību problēmām vai to attīstības risku. Proti atkarību profilakses problēma jau tiek risināta konkrētu ģimeņu ietvaros. 4.3.6.5. pasākuma projekta iesniedzējs un finansējuma saņēmējs ir Bērnu aizsardzības centrs, kas ir labklājības ministra pārraudzībā esoša tiešās pārvaldes iestāde, kas nodrošina normatīvo aktu ievērošanas uzraudzību un kontroli bērnu tiesību aizsardzības un bāriņtiesu darbības jomā, kas liecina, ka tiks izstrādāti valsts pakalpojumi un sniegts atbalsts valsts līmenī ģimenēm ar bērniem ar uzvedības vai atkarību problēmām, vai to attīstības risku, strādājot jau ar personu individuālajā līmenī.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Īstenojot 4.1.2.8. pasākuma atbalstāmās darbības, tiks nodrošināta demarkācija ar Bērnu aizsardzības centra īstenoto 4.3.6.5. pasākumu.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skolēni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pirmsskolas vecuma bērni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jaunieši, vecāki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 ietvaros atbilstoši SPKC izstrādātajām vadlīnijām tiks īstenoti dažādi veselības veicināšanas un slimību profilakses pasākumi, piemēram, konferences, konsultācijas, lekciju cikli, semināri, tiešsaistes semināri, nodarbību cikli, diskusijas, domnīcas, darbnīcas, interešu grupu nodarbības, atbalsta grupas, mentora pakalpojumi, raidieraksti, intervijas, video sociālās platformās, interaktīvas metodes, piemēram, lomu spēles. Veselības veicināšanas un slimību profilakses pasākumiem ir ietekme uz iedzīvotāju veselību, to mērķis ir īstermiņā uzlabot zināšanas un prasmes, bet ilgtermiņā mainīt dzīvesveida paradumus.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vai nodibinājumi, kas saskaņā ar to statūtiem īsteno veselības veicināšanas un/vai slimību profilakses pasākumus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 pildīs atbildīgās iestādes funkcijas, biedrības vai nodibinājumi pildīs finansējuma saņēmēja funkcijas.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 sniegtā atbalsta rezultātā tiks stiprināta biedrību un nodibinājumu veiktspēja, kas tostarp ietver jaunu profesionālo iemaņu stiprināšanu, sadarbības veidošanu ar citām biedrībām un nodibinājumiem, valsts iestādēm u.c. ieinteresētajām pusēm. Īstenojot veselības veicināšanas un slimību profilakses pasākumus mērķa grupas personām, tiks veicināta arī biedrību un nodibinājumu un to darbinieku profesionālā pieredze, atpazīstamība, reputācija un uzticamība.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ir izstrādāts sasaistē ar tādiem valsts mēroga un nozares politikas plānošanas dokumentiem kā Latvijas Nacionālais attīstības plāns 2021. – 2027. gadam, Sabiedrības veselības pamatnostādnes 2021. – 2027. gadam, tādejādi arī šo plānošanas dokumentu saskaņošanas procesu ietvaros tika nodrošināta specifiskā atbalsta mērķa un būtības, virzienu saskaņošana.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2.2.1. uz makroekonomisko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SAM 4.1.2. ir izstrādāts sasaistē ar tādiem valsts mēroga un nozares politikas plānošanas dokumentiem, kā Latvijas Nacionālais attīstības plāns 2021. - 2027. gadam, Sabiedrības veselības pamatnostādnes 2021. - 2027. gadam, tādējādi arī šo plānošanas dokumentu saskaņošanas procesu ietvaros tika nodrošināta SAM 4.1.2. būtības un virzienu saskaņošana.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īstenotās investīcijas ir vērstas uz Latvijas Nacionālajā attīstības plānā 2021. – 2027. gadam noteiktajiem mērķiem, proti, sabiedrības veselības politikas rezultatīvo rādītāju sasniegšanu, atbilstoši – mirstības no pašnāvībām un potenciāli zaudēto mūža gadu samazināšanu.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2.2.2. uz nozaru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2.2.3. uz uzņēmējdarbības vidi: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2.2.4. uz mazajiem un vidējiem uzņēmējiem: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2.2.5. uz konkurenci: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2.2.6. uz nodarbinātību: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641 835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383 775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641 835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755 100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5 700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451 500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755 100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-113 265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-113 265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-113 265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-855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-67 725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-113 265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4.1.2.8. pasākumam pieejamais maksimālais kopējais attiecināmais finansējums ir 3 000 000 </w:t>
            </w:r>
            <w:r w:rsidR="00000000" w:rsidRPr="00000000" w:rsidDel="00000000">
              <w:rPr>
                <w:sz w:val="24"/>
                <w:i w:val="1"/>
                <w:rtl w:val="0"/>
              </w:rPr>
              <w:t xml:space="preserve">euro</w:t>
            </w:r>
            <w:r w:rsidR="00000000" w:rsidRPr="00000000" w:rsidDel="00000000">
              <w:rPr>
                <w:sz w:val="24"/>
                <w:rtl w:val="0"/>
              </w:rPr>
              <w:t xml:space="preserve">, t.sk., ESF Plus finansējums – 2 550 000 </w:t>
            </w:r>
            <w:r w:rsidR="00000000" w:rsidRPr="00000000" w:rsidDel="00000000">
              <w:rPr>
                <w:sz w:val="24"/>
                <w:i w:val="1"/>
                <w:rtl w:val="0"/>
              </w:rPr>
              <w:t xml:space="preserve">euro</w:t>
            </w:r>
            <w:r w:rsidR="00000000" w:rsidRPr="00000000" w:rsidDel="00000000">
              <w:rPr>
                <w:sz w:val="24"/>
                <w:rtl w:val="0"/>
              </w:rPr>
              <w:t xml:space="preserve"> un valsts budžeta (turpmāk – VB) līdzfinansējums – 450 000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ESF Plus daļa 85 procentu apmērā no projekta attiecināmām izmaksām. Budžeta izdevumi ir kopējie projekta ieviešanai nepieciešamie publiskā finansējuma (ESF Plus un VB) līdzekļi attiecīgajā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Projektu īstenošanas uzsākšana plānota indikatīvi no 2025. gada 2. ceturkšņa – 2029. gada 4. ceturksnim.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gadā</w:t>
            </w:r>
            <w:r w:rsidR="00000000" w:rsidRPr="00000000" w:rsidDel="00000000">
              <w:rPr>
                <w:sz w:val="24"/>
                <w:rtl w:val="0"/>
              </w:rPr>
              <w:t xml:space="preserve"> finansējums plānots indikatīvi 5 700 </w:t>
            </w:r>
            <w:r w:rsidR="00000000" w:rsidRPr="00000000" w:rsidDel="00000000">
              <w:rPr>
                <w:sz w:val="24"/>
                <w:i w:val="1"/>
                <w:rtl w:val="0"/>
              </w:rPr>
              <w:t xml:space="preserve">euro</w:t>
            </w:r>
            <w:r w:rsidR="00000000" w:rsidRPr="00000000" w:rsidDel="00000000">
              <w:rPr>
                <w:sz w:val="24"/>
                <w:rtl w:val="0"/>
              </w:rPr>
              <w:t xml:space="preserve">, t.sk. ESF Plus finansējums 4 845 </w:t>
            </w:r>
            <w:r w:rsidR="00000000" w:rsidRPr="00000000" w:rsidDel="00000000">
              <w:rPr>
                <w:sz w:val="24"/>
                <w:i w:val="1"/>
                <w:rtl w:val="0"/>
              </w:rPr>
              <w:t xml:space="preserve">euro</w:t>
            </w:r>
            <w:r w:rsidR="00000000" w:rsidRPr="00000000" w:rsidDel="00000000">
              <w:rPr>
                <w:sz w:val="24"/>
                <w:rtl w:val="0"/>
              </w:rPr>
              <w:t xml:space="preserve"> un VB līdzfinansējums 855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2026. gadā</w:t>
            </w:r>
            <w:r w:rsidR="00000000" w:rsidRPr="00000000" w:rsidDel="00000000">
              <w:rPr>
                <w:sz w:val="24"/>
                <w:rtl w:val="0"/>
              </w:rPr>
              <w:t xml:space="preserve"> finansējums plānots indikatīvi 451 500 </w:t>
            </w:r>
            <w:r w:rsidR="00000000" w:rsidRPr="00000000" w:rsidDel="00000000">
              <w:rPr>
                <w:sz w:val="24"/>
                <w:i w:val="1"/>
                <w:rtl w:val="0"/>
              </w:rPr>
              <w:t xml:space="preserve">euro</w:t>
            </w:r>
            <w:r w:rsidR="00000000" w:rsidRPr="00000000" w:rsidDel="00000000">
              <w:rPr>
                <w:sz w:val="24"/>
                <w:rtl w:val="0"/>
              </w:rPr>
              <w:t xml:space="preserve">, t.sk. ESF Plus finansējums 383 775 </w:t>
            </w:r>
            <w:r w:rsidR="00000000" w:rsidRPr="00000000" w:rsidDel="00000000">
              <w:rPr>
                <w:sz w:val="24"/>
                <w:i w:val="1"/>
                <w:rtl w:val="0"/>
              </w:rPr>
              <w:t xml:space="preserve">euro</w:t>
            </w:r>
            <w:r w:rsidR="00000000" w:rsidRPr="00000000" w:rsidDel="00000000">
              <w:rPr>
                <w:sz w:val="24"/>
                <w:rtl w:val="0"/>
              </w:rPr>
              <w:t xml:space="preserve"> un VB līdzfinansējums 67 725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2027. gadā</w:t>
            </w:r>
            <w:r w:rsidR="00000000" w:rsidRPr="00000000" w:rsidDel="00000000">
              <w:rPr>
                <w:sz w:val="24"/>
                <w:rtl w:val="0"/>
              </w:rPr>
              <w:t xml:space="preserve"> finansējums plānots indikatīvi 755 100 </w:t>
            </w:r>
            <w:r w:rsidR="00000000" w:rsidRPr="00000000" w:rsidDel="00000000">
              <w:rPr>
                <w:sz w:val="24"/>
                <w:i w:val="1"/>
                <w:rtl w:val="0"/>
              </w:rPr>
              <w:t xml:space="preserve">euro</w:t>
            </w:r>
            <w:r w:rsidR="00000000" w:rsidRPr="00000000" w:rsidDel="00000000">
              <w:rPr>
                <w:sz w:val="24"/>
                <w:rtl w:val="0"/>
              </w:rPr>
              <w:t xml:space="preserve">, t.sk. ESF Plus finansējums 641 835 </w:t>
            </w:r>
            <w:r w:rsidR="00000000" w:rsidRPr="00000000" w:rsidDel="00000000">
              <w:rPr>
                <w:sz w:val="24"/>
                <w:i w:val="1"/>
                <w:rtl w:val="0"/>
              </w:rPr>
              <w:t xml:space="preserve">euro</w:t>
            </w:r>
            <w:r w:rsidR="00000000" w:rsidRPr="00000000" w:rsidDel="00000000">
              <w:rPr>
                <w:sz w:val="24"/>
                <w:rtl w:val="0"/>
              </w:rPr>
              <w:t xml:space="preserve"> un VB līdzfinansējums 113 265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2028. gadā</w:t>
            </w:r>
            <w:r w:rsidR="00000000" w:rsidRPr="00000000" w:rsidDel="00000000">
              <w:rPr>
                <w:sz w:val="24"/>
                <w:rtl w:val="0"/>
              </w:rPr>
              <w:t xml:space="preserve"> finansējums plānots indikatīvi 671 400 </w:t>
            </w:r>
            <w:r w:rsidR="00000000" w:rsidRPr="00000000" w:rsidDel="00000000">
              <w:rPr>
                <w:sz w:val="24"/>
                <w:i w:val="1"/>
                <w:rtl w:val="0"/>
              </w:rPr>
              <w:t xml:space="preserve">euro</w:t>
            </w:r>
            <w:r w:rsidR="00000000" w:rsidRPr="00000000" w:rsidDel="00000000">
              <w:rPr>
                <w:sz w:val="24"/>
                <w:rtl w:val="0"/>
              </w:rPr>
              <w:t xml:space="preserve">, t.sk. ESF Plus finansējums 570 690 </w:t>
            </w:r>
            <w:r w:rsidR="00000000" w:rsidRPr="00000000" w:rsidDel="00000000">
              <w:rPr>
                <w:sz w:val="24"/>
                <w:i w:val="1"/>
                <w:rtl w:val="0"/>
              </w:rPr>
              <w:t xml:space="preserve">euro</w:t>
            </w:r>
            <w:r w:rsidR="00000000" w:rsidRPr="00000000" w:rsidDel="00000000">
              <w:rPr>
                <w:sz w:val="24"/>
                <w:rtl w:val="0"/>
              </w:rPr>
              <w:t xml:space="preserve"> un VB līdzfinansējums 100 710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2029. gadā</w:t>
            </w:r>
            <w:r w:rsidR="00000000" w:rsidRPr="00000000" w:rsidDel="00000000">
              <w:rPr>
                <w:sz w:val="24"/>
                <w:rtl w:val="0"/>
              </w:rPr>
              <w:t xml:space="preserve"> finansējums plānots indikatīvi 1 116 300 </w:t>
            </w:r>
            <w:r w:rsidR="00000000" w:rsidRPr="00000000" w:rsidDel="00000000">
              <w:rPr>
                <w:sz w:val="24"/>
                <w:i w:val="1"/>
                <w:rtl w:val="0"/>
              </w:rPr>
              <w:t xml:space="preserve">euro</w:t>
            </w:r>
            <w:r w:rsidR="00000000" w:rsidRPr="00000000" w:rsidDel="00000000">
              <w:rPr>
                <w:sz w:val="24"/>
                <w:rtl w:val="0"/>
              </w:rPr>
              <w:t xml:space="preserve">, t.sk. ESF Plus finansējums 948 855 </w:t>
            </w:r>
            <w:r w:rsidR="00000000" w:rsidRPr="00000000" w:rsidDel="00000000">
              <w:rPr>
                <w:sz w:val="24"/>
                <w:i w:val="1"/>
                <w:rtl w:val="0"/>
              </w:rPr>
              <w:t xml:space="preserve">euro</w:t>
            </w:r>
            <w:r w:rsidR="00000000" w:rsidRPr="00000000" w:rsidDel="00000000">
              <w:rPr>
                <w:sz w:val="24"/>
                <w:rtl w:val="0"/>
              </w:rPr>
              <w:t xml:space="preserve"> un VB līdzfinansējums 167 445 </w:t>
            </w:r>
            <w:r w:rsidR="00000000" w:rsidRPr="00000000" w:rsidDel="00000000">
              <w:rPr>
                <w:sz w:val="24"/>
                <w:i w:val="1"/>
                <w:rtl w:val="0"/>
              </w:rPr>
              <w:t xml:space="preserve">euro</w:t>
            </w:r>
            <w:r w:rsidR="00000000" w:rsidRPr="00000000" w:rsidDel="00000000">
              <w:rPr>
                <w:sz w:val="24"/>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Šobrīd valsts budžeta ilgtermiņa saistībās finansējums 4.1.2.8. pasākuma projektiem nav paredzēts. Nepieciešamo valsts budžeta finansējumu Finanšu ministrija pēc projektu apstiprināšanas normatīvajos aktos noteiktajā kārtībā lūgs pārdalīt no 74. resora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Pasākumam finansējums tiks plānots Finanšu ministrijas pamatbudžeta apakšprogrammā 63.08.00 “Eiropas Sociālā fonda Plus (ESF+) avansa maksājumi un atmaksas finansējuma saņēmējiem (2021-2027)”. FM iesniegs priekšlikumu par TA projektā paredzēto atbalstāmo darbību īstenošanai papildus nepieciešamo finansējumu 2026. gadam un turpmākajiem gadiem attiecīgā likumprojekta par valsts budžetu kārtējam gadam un vidēja termiņa budžeta ietvaru sagatavošanas procesā.</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Skatīt 6. punktu.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Projekts šo jomu neskar.</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32021R1060</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32024R2509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2021. gada 24. jūnija Regula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56.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projekta 21.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47. un 50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23. punkts, 26.3.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64. panta 1. punkta "c"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projekta 25.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2021/1060 82. panta 1. 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projekta 27.2.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regulas Nr. 2024/2509 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TA projekts projekta 26.2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Netiek paredzētas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Politiskais lēmums par TA projekta izstrādi tika pieņemts ar Ministru kabineta 2022. gada 26. maija rīkojumu Nr. 359 "Sabiedrības veselības pamatnostādnes 2021.–2027. gadam" apstiprinātajās Sabiedrības veselības pamatnostādnēs 2021. – 2027. gadam. Sabiedrības veselības pamatnostādņu 2021. – 2027. gadam 6. pielikumā ir norādīti sekojoši uzdevumi, par kuru izpildi līdzatbildīgas ir arī NVO:</w:t>
      </w:r>
      <w:r w:rsidR="00000000" w:rsidRPr="00000000" w:rsidDel="00000000">
        <w:rPr>
          <w:rtl w:val="0"/>
        </w:rPr>
        <w:t xml:space="preserve">1) 1.3.1.    Īstenot sabiedrības informēšanas un izglītošanas pasākumus dažādām mērķa grupām par atkarību izraisošo vielu lietošanas, kā arī procesu un dažādu jauno moderno tehnoloģiju pārmērīga patēriņa ietekmi uz veselību un ar to saistītājiem riskiem.</w:t>
      </w:r>
      <w:r w:rsidR="00000000" w:rsidRPr="00000000" w:rsidDel="00000000">
        <w:rPr>
          <w:rtl w:val="0"/>
        </w:rPr>
        <w:t xml:space="preserve">2) 1.4.1. Īstenot izglītojošus un informatīvus pasākumus par seksuālās un reproduktīvās veselības jautājumiem dažādām iedzīvotāju mērķa grupām, tai skaitā iespēju robežās pielāgojot tos personām ar īpašām vajadzībām (cilvēki ar garīga rakstura, redzes un dzirdes traucējumiem), kā arī īstenot profilakses pasākumus pioritārajām riska grupām un sociālās atstumtības riskam pakļautajiem iedzīvotājiem, veidojot atbalsta grupas.</w:t>
      </w:r>
      <w:r w:rsidR="00000000" w:rsidRPr="00000000" w:rsidDel="00000000">
        <w:rPr>
          <w:rtl w:val="0"/>
        </w:rPr>
        <w:t xml:space="preserve">TA projekts un tā anotācija būs publiski pieejami Tiesību aktu projektu publiskajā portālā https://tapportals.mk.gov.lv.</w:t>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tīmekļa vietnē www.vestnesis.lv. Priekšlikumu un viedokļu sniegšanai TA projekts Tiesību aktu projektu publiskajā portālā tika nosūtīts arī Latvijas Pašvaldību savienībai, no kuras saņemts viens priekšlikums.</w:t>
      </w:r>
      <w:r w:rsidR="00000000" w:rsidRPr="00000000" w:rsidDel="00000000">
        <w:rPr>
          <w:rtl w:val="0"/>
        </w:rPr>
        <w:t xml:space="preserve">Kaut arī sabiedrības līdzdalība netika nodrošināta atbilstoši Ministru kabineta 2024. gada 15. oktobra noteikumu Nr. 639 „Sabiedrības līdzdalības kārtība attīstības plānošanas procesā” 7. punktā noteiktajam, sabiedrības līdzdalība tika nodrošināta ES fondu un Kohēzijas fonda Uzraudzības komitejā un ES fondu un Kohēzijas fonda apakškomitejā. Bez tam 2024. gada novembrī VM iepazīstināja nevalstiskās organizācijas ar šo TA projektu, nosūtot informāciju un aicinot izteikt priekšlikumus Tiesību aktu projektu publiskajā portālā atbilstoši saskaņošanas procesā paredzētajai kārtībai. Tika organizēta tikšanās un atbildēts uz NVO pārstāvju jautājumiem. No Latvijas Pacientu organizāciju tīkla Tiesību aktu projektu publiskajā portālā saņemts viens priekšlikums. </w:t>
      </w:r>
      <w:r w:rsidR="00000000" w:rsidRPr="00000000" w:rsidDel="00000000">
        <w:rPr>
          <w:rtl w:val="0"/>
        </w:rPr>
        <w:t xml:space="preserve">Pēc pasākuma ieviešanas nosacījumu apstiprināšanas Ministru kabinetā, tiks sagatavota un iesniegta informācija par sabiedrības pārstāvju iesaisti normatīvā regulējuma izstrādē Nevalstisko organizāciju un Ministru kabineta sadarbības memoranda īstenošanas padomes sekretariātam.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vai nodibinājumi, kas saskaņā ar to statūtiem īsteno veselības veicināšanas un/vai slimību profilakses pasākumus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6"/>
        <w:gridCol w:w="1206"/>
        <w:tblGridChange w:id="0">
          <w:tblGrid>
            <w:gridCol w:w="1205"/>
            <w:gridCol w:w="1205"/>
            <w:gridCol w:w="1205"/>
            <w:gridCol w:w="1205"/>
            <w:gridCol w:w="1205"/>
            <w:gridCol w:w="1205"/>
            <w:gridCol w:w="1206"/>
            <w:gridCol w:w="120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Sabiedrības grupa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Palielinās/samazinās</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Stundas samaksas likme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Laika patēriņš uz vienību - stundās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Subjektu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Cik bieži - reizes gadā</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Administratīvās izmaksas - </w:t>
            </w:r>
            <w:r w:rsidR="00000000" w:rsidRPr="00000000" w:rsidDel="00000000">
              <w:rPr>
                <w:sz w:val="24"/>
                <w:b w:val="1"/>
                <w:i w:val="1"/>
                <w:rtl w:val="0"/>
              </w:rPr>
              <w:t xml:space="preserve">euro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Aprēķinu 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Veselības ministrija ir ES fondu atbildīgā iestāde. Veselības ministrijai noteiktie pienākumi tiks veikti esošo finanšu un darbinieku kapacitātes ietvaros, nepalielinot kopējās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neietekmē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Centrālā finanšu un līgumu aģentūra ir sadarbības iestāde. Centrālajai  finanšu un līgumu aģentūrai noteiktie pienākumi tiks veikti esošo finanšu un darbinieku kapacitātes ietvaros, nepalielinot kopējās izmaksas.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Biedrības vai nodibinājumi, kas saskaņā ar to statūtiem īsteno veselības veicināšanas un/vai slimību profilakses pasākumus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palielinās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Vērtības nozīme: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10,19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euro/h</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8,00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stundas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darbinieku skaits, kas iesaistīti projekta iesnieguma sagatavošanā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2,0</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Projektu iesniegšanas reižu skaits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Aprēķinam izmantots pieņēmums, ka projekta iesniegums tiek iesniegts elektroniski, šo pienākumu veic darbinieki ar vidējo mēneša darba samaksu sabiedriskajā sektorā, kas 2023. gadā Latvijā bija 1 433 euro mēnesī (https://data.stat.gov.lv/pxweb/lv/OSP_PUB/START__EMP__DS__DSV/DSV070/table/tableViewLayout1/), kam atbilst stundas samaksas likme 10,19 euro. Aprēķinam tiek izmantots pieņēmums, ka finansējuma saņēmējs datu ievadei un iesniegšanai sadarbības iestādē izmanto Kohēzijas politikas vadības informācijas sistēmu, projektu ievada, apstiprina un paraksta 3 darbinieki (divi darbinieki un atbildīgā persona), un paredzēts, ka projektu iesniegs vienu reizi pirmreizēji un otru reizi izpildīt apstiprinājumu ar nosacījumu, ja par tādu lems sadarbības iestāde.</w:t>
            </w:r>
          </w:p>
        </w:tc>
      </w:tr>
      <w:tr>
        <w:tc>
          <w:tcPr>
            <w:shd w:fill="ffffff"/>
            <w:vAlign w:val="center"/>
            <w:noWrap w:val="true"/>
            <w:gridSpan w:val="6"/>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326,08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fondu vadībā iesaistītās atbildīgās iestādes funkcijas pilda VM, sadarbības iestādes funkcijas – Centrālā finanšu un līgumu aģentūra, ar noteikumu projektu noteiktie institūciju pienākumi tiks veikti esošo finanšu un darbinieku kapacitātes ietvaros, nepalielinot kopējās izmaksas. Finansējuma saņēmēji – biedrības un nodibinājumi.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ir saistīts ar  Latvijas Nacionālā attīstības plāna 2021. – 2027. gadam rīcības virzienu “Psiholoģiskā un emocionālā labklājība” un veicinās progresa rādītāju Nr. 78 “Potenciāli zaudētie mūža gadi uz 100 000 iedzīvotāju līdz 64 gadu vecumam”; Nr. 80 “Pēdējā gada laikā pārmērīgi alkoholu lietojušo īpatsvars darbspējas vecumā”; Nr. 81 “Ikdienas smēķēšanas paraduma izplatība cilvēkiem darbspējas vecumā”, Nr. 83 “Mirstība no pašnāvībām uz 100 000 iedzīvotāju”, Nr. 85 “Atbalsts vecāku prasmju pilnveidošanai, uzlabojot bērnu un jauniešu psiholoģisko un emocionālo labklājību un mazinot psihiskās veselības un mācīšanās traucējumu veidošanās riskus nākotnē”, Nr. 86 “Pierādījumos balstīti efektīvi un inovatīvi risinājumi atkarību izraisošo vielu un procesu izplatības ierobežošanai un pārmērīga un kaitējoša patēriņa mazināšanai, uzlabojot sabiedrības kognitīvās spējas un psihisko veselību” un Nr. 88 “Uzlabojot psiholoģisko un emocionālo veselību, seksuālās un reproduktīvās veselības stiprināšana sabiedrībā un infekciju slimību izplatības risku mazināšana” uzlabošanu.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tiešā veidā vērsts uzlabot vienlīdzīgu un savlaicīgu pieejamību veselības veicināšanas un slimību profilakses pakalpojumiem, nodrošinot vietējā mēroga veselības veicināšanas un slimību profilakses pasākumus dažādām sabiedrības grupām, līdz ar to, tiešā veidā ietekmēs arī iedzīvotāju sociālo situāciju – darbaspējas, mentālo veselību u.tml.</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veicinātu personu ar invaliditāti vienlīdzīgas iespējas un tiesību ievērošanu, projektu ietvaros  tiks plānotas vispārīgas un specifiskas darbības,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vadības un īstenošanas personāla atlase nodrošināta bez jebkādas tiešas vai netiešas diskriminācijas, veicina mazāk pārstāvētā dzimuma piesaisti, personu ar invaliditāti piesaisti un nediskriminē  pēc rases, etniskās izcelsmes, dzimuma, vecuma, invaliditātes, reliģiskās, pārliecības,  seksuālās orientācijas vai citiem apstākļiem;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nodrošinot informāciju publiskajā telpā, t.sk. tīmeklī, tiks nodrošināts, ka to saturs ir piekļūstams cilvēkiem ar funkcionāliem traucējumiem, izmantojot vairākus sensoros (redze, dzirde, tauste) kanālus (skat. Viedās administrācijas un reģionālās attīstības ministrijas vadlīnijas “Tīmekļvietnes izvērtējums atbilstoši digitālās vides piekļūstamības prasībām (WCAG 2.1 AA)” https://pieklustamiba.varam.gov.lv/);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tīmekļa vietnē, ja tāda ir, tiks norādīta informācija par projekta darbību īstenošanas vietas piekļūstamību cilvēkiem ar invaliditāti un funkcionāliem traucējumiem, vecākiem ar maziem bērniem un senioriem;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finansējuma saņēmēja tīmekļvietnē, ja tāda ir, izveidota sadaļa "Viegli lasīt", kurā iekļauta īsa aprakstoša informācija par projektu un citu lasītājiem nepieciešamu informāciju vieglajā valodā, lai plašākai sabiedrībai nodrošinātu iespēju uzzināt par ES fondu ieguldījumiem u.c.;</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semināru, konferenču un komunikācijas pasākumu īstenošanā sabiedrības informēšanai tiks nodrošināti cilvēkiem ar dažāda veida funkcionāliem traucējumiem piekļūstami formāti (piem., tulkošana zīmju valodā, subtitrēšana, Braila druka, reāllaika transkripcija, raidījumu un pasākumu ierakstīšana);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nodrošināts, ka konkrētajai videi/objektam/pasākuma norises vietai ir iespēja fiziski piekļūt un to izmantot cilvēkiem ar dažādiem funkcionāliem traucējumiem gan kā pasākuma skatītājiem, gan kā dalībniekiem u.c.</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HP vispārīgas darbības, kas veicina dzimumu līdztiesību: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īstenojot projekta komunikācijas aktivitātes, tiks izvēlēta valoda un vizuālie tēli, kas mazina diskrimināciju un stereotipu veidošanos (skat. metodisko materiālu “Ieteikumi diskrimināciju un stereotipus mazinošai komunikācijai ar sabiedrību”; https://www.lm.gov.lv/lv/vadlinijas-rekomendacijas-informativie-materiali);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nodrošinātas veselības veicināšanas un slimību profilakses aktivitātes, kas vērstas uz informatīvo semināru, konferenču, apmācību un darbnīcu interaktīvo informatīvo izglītojošo nodarbību saturā integrētiem jautājumiem par sabiedrībā valdošo stereotipu un priekšstatu maiņas pasākumiem par sievietes un vīrieša lomām un tām atbilstošu uzvedību attiecībā uz rūpēm par savu veselību un dzīvesveidu;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īstenotas specifiskas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tiks nodrošināti veselības veicināšanas un slimību profilakses pasākumi, kas vērsti uz atšķirību mazināšanu sieviešu un vīriešu paredzamajā mūža ilgumā t.sk. veselībai negatīvo riska faktoru mazināšana, uzrunājot atsevišķi vīriešu un sieviešu mērķauditoriju.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Mērķtiecīgiem veselības veicināšanas un slimību profilakses pasākumiem ir būtiska loma sabiedrības veselības stāvokļa uzlabošanā, kas ir svarīgs faktors veselības aprūpes sistēmas noslodzes mazināšanā veselības aprūpes pakalpojumu pieejamība.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4.1.2.8. pasākuma ietvaros ir paredzēts veikt personas datu apstrādi.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Personas datu apstrāde veicama saskaņā ar Vispārīgas datu aizsardzības regulas 6. panta 1. punkta c) apakšpunktu un atbilstoši TA projekta nosacījumiem. Personas datus un citu informāciju finansējuma saņēmējs izmantos maksājuma pieprasījumu sagatavošanai un iesniegs tos Kohēzijas politikas fondu vadības informācijas sistēmā (KPVIS) atbilstoši Ministru kabineta 2023. gada 21. marta noteikumos Nr. 135 “Eiropas Savienības fondu projektu pārbaužu veikšanas kārtība 2021. – 2027. gada plānošanas periodā”.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apstrāde un uzkrāšana KPVIS tiks nodrošināta atbilstoši MK 13.12.2022. noteikumiem Nr. 770 “Kārtība, kādā Eiropas Savienības fondu 2021. – 2027. gada plānošanas periodā nodrošina ieguldījumu uzraudzību un izvērtēšanu, kā arī izstrādā un uztur Kohēzijas politikas fondu vadības informācijas sistēmu”. Nosakot datu glabāšanas termiņus, ir ņemtas vērā normatīvajos aktos noteiktās prasības par dokumentu pieejamību un attaisnojuma dokumentu glabāšanas minimāliem termiņiem. Atbilstoši Regulas 2021/1060 82. panta 1. punktam dati tiek glabāti piecus gadus, sākot ar tā gada 31. decembri, kurā sadarbības iestāde veikusi pēdējo maksājumu finansējuma saņēmējam. KPVIS personas dati atbilstoši MK 13.12.2022. noteikumu Nr.770 “Kārtība, kādā Eiropas Savienības fondu 2021.–2027. gada plānošanas periodā nodrošina ieguldījumu uzraudzību un izvērtēšanu, kā arī izstrādā un uztur Kohēzijas politikas fondu vadības informācijas sistēmu” 27. punktam, glabājami līdz 31.12.2039.</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TA projekts paredz, ka finansējuma saņēmējam, īstenojot iepirkumus, saskaņā ar Ministru kabineta 2017. gada 28. februāra noteikumos Nr. 104 “Noteikumi par iepirkuma procedūru un tās piemērošanas kārtību pasūtītāja finansētiem projektiem” (turpmāk – MK noteikumi Nr. 104) noteikto, ir pienākums parakstīt apliecinājumu par interešu konflikta neesamību. Finansējuma saņēmējs aizpilda un apstiprina MK noteikumu Nr. 104 1. pielikumā noteikto apliecinājumu par interešu konflikta neesību un pievieno to iepirkumu līgumu slēgšanas dokumentācijai. Apliecinājuma ieguves ietvaros tiks veikta personas datu apstrāde, ko tieši paredz iepriekš minētie MK noteikumi Nr. 104.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 projekts paredz, ka finansējuma saņēmējs projekta īstenošanas ietvaros var veikt iepirkumus, kur arī tiks veikta personas datu apstrāde iepirkumu organizēšanas un iepirkumu līgumu noslēgšanas nolūkā. Minētā personas datu apstrāde tiks veikta atbilstoši regulas Nr. 2016/679 6. panta 1. punkta b) un c) apakšpunktam un MK noteikumu Nr. 104 20., 28. un 31. punktam. Iepirkumu procesa organizēšanas un administrēšanas nolūkā tiks apstrādāti datu subjektu identitātes dati (vārds, uzvārds), adrese, e-pasts, telefona numurs, informācija par pretendentu personāla vai pieaicināto speciālistu tehniskām un profesionālām spējām (pieredze, izglītība, zināšanas, kvalifikācija, amats) un to apliecinoši dokumenti, datu subjektu sniegtā cita informācija, izpildot iepirkuma nolikumā noteiktās prasības.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Nosakot datu glabāšanas termiņus, ir ņemtas vērā normatīvajos aktos noteiktās prasības par dokumentu pieejamību un attaisnojuma dokumentu glabāšanas minimāliem termiņiem. Grāmatvedības likuma 28. panta 5. punkts noteic, ka attaisnojuma dokumenti glabājami līdz dienai, kad tie nepieciešami, lai izpildītu likuma 6. panta otrās daļas prasības par saimnieciskā darījuma norises izsekojamību, bet ne īsāku laiku par pieciem gadiem. Noteikumu Nr.104  32. punkts noteic, ka iepirkuma procedūras norises dokumentāciju finansējuma saņēmējs glabā, ievērojot tiesību aktos par finansējuma piešķiršanu noteikto termiņu, bet ne mazāk kā piecus gadus pēc iepirkuma līguma noslēgšanas, ja minētajos tiesību aktos šāds termiņš nav noteikts.. Tādējādi, ņemot vērā normatīvajos aktos noteiktos termiņus, 4.1.2.8. pasākuma mērķa grupas personas datu glabāšanas termiņš nosakāms atbilstoši regulas Nr. 2021/1060 82. punkta prasībām, t.i., dokumentus par ES fondu atbalstītajiem izdevumiem glabā līdz 2034. gada 31. decembrim, lai pierādītu maksājumu veikšanas un finanšu izlietojuma pamatotību.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 ietvaros tiks īstenoti veselības veicināšanas un slimību profilakses pasākumi divās jomās – 1. seksuālās un reproduktīvās veselības veicināšana un 2. atkarību mazināšana un profilakse. Bērni un jaunieši ir viena no pasākuma mērķa grupām. Pasākuma mērķis ir uzlabot vienlīdzīgu un savlaicīgu piekļuvi veselības veicināšanas un slimību profilakses pakalpojumiem, nodrošinot vietēja mēroga veselības veicināšanas un slimību profilakses pasākumus, īstermiņā uzlabot zināšanas un prasmes, bet ilgtermiņā mainīt dzīvesveida paradumus, tādējādi kopumā uzlabojot bērnu veselību.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identificētas galvenās problēmas, kas skar mērķa grupu, jomā, kurā darbojas projekta iesniedzējs un apraksts, kā projektā paredzētās HP VINPI darbības risinās identificētās problēmas;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ir sniegta informācija par projekta vadības un īstenošanas personālu dalījumā pēc dzimuma u.c. pazīmes (vai plānots sniegt) un sniegta (vai plānots sniegt)  informācija sadalījumā pēc dzimumu u.c. pazīmes par projekta mērķa grupām;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paskaidrots, kā projektu vadībā un īstenošanā tiks nodrošināta nediskriminācija pēc vecuma, dzimuma, etniskās piederības u.c. pazīmes un virzīti pasākumi, kas veicina nediskrimināciju un pamattiesību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pasākuma ietvarā nepieciešams veikt iepirkumu, finansējuma saņēmējs iespēju robežās veic sociāli atbildīgu publisko iepirkumu saskaņā ar Iepirkumu uzraudzības biroja sagatavoto informāciju par Sociāli atbildīgu publisko iepirkumu, kā arī Latvijas Sociālās uzņēmējdarbības asociācijas izstrādātajām “Vadlīnijām sociāli atbildīga publiskā iepirkuma īstenošanai”, pienācīgi ievērojot tādus principus kā personu ar invaliditāti vienlīdzīgu iespēju principu visās dzīves jomās, personai piemītošās cieņas, personīgās patstāvības un neatkarības, t.sk. personīgās izvēles brīvības un personas neatkarības ievērošanas, diskriminācijas aizlieguma principu, piekļūstamības principu, līdzdalības principu, iekļaušanas principu un izpratnes veicināšanas principu, neveicinot nelabvēlīgākā situācijā esošu grupu segregāciju/ izolāciju, piemēram, personu ar invaliditāti un migrantu izcelsmes personu segregāciju/ izolāciju.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Plānotajām vispārīgajām HP VINPI darbībām jāaptver visas vispārīgo darbību jomas – informāciju un publicitāti, projekta vadību un īstenošanu un publiskos iepirkumus (ja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Pasākumam nav ietekmes uz horizontālajiem principiem “Klimatdrošināšana”, “Energoefektivitāte pirmajā vietā” un “Nenodarīt būtisku kaitējumu”, savukārt, uz horizontālo principu “Vienlīdzība, iekļaušana, nediskriminācija un pamattiesību ievērošana” ir netieša ietekme, attiecīgi projektu iesniegumu atlasē vērtējot kritēriju vai projektā paredzētas darbības, kas veicina horizontālā principa ”Vienlīdzība, iekļaušana, nediskriminācija un pamattiesību ievērošana”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iesniegumā ir jābūt: vismaz trīs vispārīgām darbībām, vismaz vienai specifiskajai darbībai un vienam obligātajam horizontālā principa “Vienlīdzība, iekļaušana, nediskriminācija un pamattiesību ievērošana” rādītājam: - mediju kampaņu, semināru, konferenču un komunikācijas pasākumu skaits, kuros sabiedrības informēšanai tika nodrošināti cilvēkiem ar dažāda veida funkcionāliem traucējumiem piekļūstami formāti (tulkošana zīmju valodā, subtitrēšana, reāllaika transkripcija, raidījumu un pasākumu ieraksti), kas attiecīgi noteikts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Starpreģionālās, pārrobežu un transnacionālās darbības ietvaros, intervenci tiek īstenota papildinātībā ar Eiropas Savienības stratēģiju Baltijas jūras reģionam (turpmāk - ESSBJR). 4.1.2.SAM paredzētās darbības var sniegt ieguldījumu ESSBJR politikas virziena “Veselība” īstenošanā. Pasākuma ietvaros īstenotās investīcijas veselības veicināšanas un slimību profilakses pasākumos, uzlabos Latvijas iedzīvotāju veselību, pagarinot labā veselībā nodzīvoto mūžu, novēršot priekšlaicīgu mirstību un mazinot nevienlīdzību veselības jomā. Tāpat pasākuma ietvaros paredzētie pasākumi vienlaicīgi veicinās arī Latvijas ekonomiskās izaugsmes, labklājības līmeņa celšanos un ESSBJR apakšmērķa “celt labklājību” sasniegšanu.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Nepieciešamības gadījumā finansējuma saņēmējs var plānot arī inovatīvu iepirkumu.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24-TA-2667</w:t>
    </w:r>
    <w:r>
      <w:br/>
    </w:r>
    <w:r w:rsidR="00000000" w:rsidRPr="00000000" w:rsidDel="00000000">
      <w:rPr>
        <w:rtl w:val="0"/>
      </w:rPr>
      <w:t xml:space="preserve">Izdrukāts 29.07.2026. 23.05 - 3.0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24-TA-2667</w:t>
    </w:r>
    <w:r>
      <w:br/>
    </w:r>
    <w:r w:rsidR="00000000" w:rsidRPr="00000000" w:rsidDel="00000000">
      <w:rPr>
        <w:rtl w:val="0"/>
      </w:rPr>
      <w:t xml:space="preserve">Izdrukāts 29.07.2026. 23.05 - 3.0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anotācija_(ex_ante)_24-TA-2667.docx</dc:title>
</cp:coreProperties>
</file>

<file path=docProps/custom.xml><?xml version="1.0" encoding="utf-8"?>
<Properties xmlns="http://schemas.openxmlformats.org/officeDocument/2006/custom-properties" xmlns:vt="http://schemas.openxmlformats.org/officeDocument/2006/docPropsVTypes"/>
</file>