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noteikumu projekts) ir izstrādāts pēc Viedās administrācijas un reģionālās attīstības ministrijas (turpmāk – VARAM) kā Eiropas Savienības (turpmāk – ES) fondu atbildīgās iestādes iniciatīvas, ievērojot ES fondu 2021.–2027. gada plānošanas perioda vadības likuma 19. panta 6. un 13. punktu, kas nosaka Ministru kabinetam izstrādāt nosacījumus specifiskā atbalsta mērķa īstenošanai un pamatojoties uz Ministru kabineta 2025. gada 29. maija rīkojumu Nr. 314 "Grozījumi Ministru kabineta 2021. gada 16. novembra rīkojumā Nr. 841 "Par Eiropas Savienības kohēzijas politikas programmu 2021.–2027.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veikt ES fondu finansējuma pārdali, vienlaikus nosakot 5.1.1.1. pasākuma "Infrastruktūra uzņēmējdarbības atbalstam" (turpmāk – 5.1.1.1. pasākums) finansējuma saņēmējiem labvēlīgākas prasības attiecībā uz projektā sasniedzamajām rezultāta rādītāju minimālajām vērtībām 5.1.1.1. pasākuma projektu iesniegumu trešajā atlases kārtā, kā arī administratīvā sloga mazināšanas nolūkā tiek samazināti ierobežojumi projektu dokumentācijai un projektos paredzamajām attiecināmajām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MK noteikumi Nr. 55) ir noteikts 5.1.1.1. pasākuma ietvaros plānotais kopējais finansējums (t.sk. elastības finansējums), ko veido Eiropas Reģionālās attīstības fonda (turpmāk – ERAF) finansējums un nacionālais līdzfinansējums (MK noteikumu Nr. 55 12. punkts), kas ir sadalīts starp trīs projektu iesniegumu atlases kārtām (turpmāk – atlases kārta) (MK noteikumu Nr. 55 14. punkts). 2024. gada 21. februārī tika izsludināta 5.1.1.1. pasākuma otrā atlases kārta (atklāta projektu iesniegumu atlase, turpmāk – APIA) ar projektu iesniegumu iesniegšanas gala termiņu 2024. gada 21. jūnijs, savukārt 2024. gada 9. maijā tika izsludināta 5.1.1.1. pasākuma pirmā atlases kārta (ierobežota projektu iesniegumu atlase, turpmāk - IPIA) ar projektu iesniegumu iesniegšanas gala termiņu 2024. gada 30. decembris. Tā kā 5.1.1.1. pasākuma otrajā atlases kārtā netika iesniegti projektu iesniegumi par visu pieejamo ERAF finansējuma apmēru, 2024. gada 27. septembrī tika izsludināts 5.1.1.1. pasākuma otrās atlases kārtas otrais uzsaukums ar projektu iesniegumu iesniegšanas gala termiņu 2025. gada 28. februāris. Pamatojoties uz MK noteikumu Nr. 55 19. punktu, 2025. gada 28. janvārī izsludinātajā 5.1.1.1. pasākuma otrās atlases kārtas otrā uzsaukuma nolikumā tika veikti grozījumi, novirzot to pirmās atlases kārtas attiecīgā plānošanas reģiona ERAF finansējuma atlikumu (ERAF 3,56 milj.</w:t>
      </w:r>
      <w:r w:rsidR="00000000" w:rsidRPr="00000000" w:rsidDel="00000000">
        <w:rPr>
          <w:i w:val="1"/>
          <w:rtl w:val="0"/>
        </w:rPr>
        <w:t xml:space="preserve"> euro</w:t>
      </w:r>
      <w:r w:rsidR="00000000" w:rsidRPr="00000000" w:rsidDel="00000000">
        <w:rPr>
          <w:rtl w:val="0"/>
        </w:rPr>
        <w:t xml:space="preserve">), kas pirmajā atlases kārtā netika piesaistīts, vienlaikus neveicot grozījumus par ERAF finansējuma pārdali starp 5.1.1.1. pasākuma atlases kārtām MK noteikumu Nr. 55 14.1. un 14.2.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un MK 2025. gada 27. maija sēdē ir apstiprinājis grozījumus Nr. 3 ES kohēzijas politikas programmā 2021.–2027. gadam (MK 2025. gada 29. maija rīkojums Nr. 314 "Grozījumi Ministru kabineta 2021. gada 16. novembra rīkojumā Nr. 841 "Par Eiropas Savienības kohēzijas politikas programmu 2021.–2027. gadam"") (turpmāk – Programmas grozījumi Nr.3) un MK 2025. gada 7. oktobra sēdē ir apstiprinājis grozījumus Nr. 4 ES kohēzijas politikas programmā 2021.–2027. gadam (MK 2025. gada 13. oktobra rīkojums Nr. 650 "Grozījumi Ministru kabineta 2021. gada 16. novembra rīkojumā Nr. 841 "Par Eiropas Savienības kohēzijas politikas programmu 2021.–2027. gadam"") (turpmāk – Programmas grozījumi Nr.4). Kontekstā ar vidusposma novērtējumu un elastības finansējuma pārskatīšanu un ievērojot 2024. gada 31. oktobra un 2025. gada 28. augusta ES fondu tematiskās komitejas sēdē panākto konceptuālo vienošanos par vidusposma pārdaļu scenāriju reģionālajai attīstībai, t.i., uz 5.1.1.1. pasākumu pārdalot 3.1.1. specifiskā atbalsta mērķa "Attīstīt ilgtspējīgu, pret klimatu izturīgu, inteliģentu, drošu un vairākveidu TEN–T infrastruktūru" 3.1.1.8. pasākumā "Robežšķērsošanas punktu attīstība" (turpmāk – 3.1.1.8. pasākums) (3 990 490 </w:t>
      </w:r>
      <w:r w:rsidR="00000000" w:rsidRPr="00000000" w:rsidDel="00000000">
        <w:rPr>
          <w:i w:val="1"/>
          <w:rtl w:val="0"/>
        </w:rPr>
        <w:t xml:space="preserve">euro</w:t>
      </w:r>
      <w:r w:rsidR="00000000" w:rsidRPr="00000000" w:rsidDel="00000000">
        <w:rPr>
          <w:rtl w:val="0"/>
        </w:rPr>
        <w:t xml:space="preserve">),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pasākumā "Pirmsskolas izglītības iestāžu infrastruktūras attīstība" (turpmāk 4.2.1.7. pasākums) (5 000 000 </w:t>
      </w:r>
      <w:r w:rsidR="00000000" w:rsidRPr="00000000" w:rsidDel="00000000">
        <w:rPr>
          <w:i w:val="1"/>
          <w:rtl w:val="0"/>
        </w:rPr>
        <w:t xml:space="preserve">euro</w:t>
      </w:r>
      <w:r w:rsidR="00000000" w:rsidRPr="00000000" w:rsidDel="00000000">
        <w:rPr>
          <w:rtl w:val="0"/>
        </w:rPr>
        <w:t xml:space="preserve"> Latgales plānošanas reģionam) un 5.1.1. specifiskā atbalsta mērķa "Vietējās teritorijas integrētās sociālās, ekonomiskās un vides attīstības un kultūras mantojuma, tūrisma un drošības veicināšana pilsētu funkcionālajās teritorijās" 5.1.1.3. pasākumā "Publiskās ārtelpas attīstība" (turpmāk – 5.1.1.3. pasākums) (210 348 </w:t>
      </w:r>
      <w:r w:rsidR="00000000" w:rsidRPr="00000000" w:rsidDel="00000000">
        <w:rPr>
          <w:i w:val="1"/>
          <w:rtl w:val="0"/>
        </w:rPr>
        <w:t xml:space="preserve">euro</w:t>
      </w:r>
      <w:r w:rsidR="00000000" w:rsidRPr="00000000" w:rsidDel="00000000">
        <w:rPr>
          <w:rtl w:val="0"/>
        </w:rPr>
        <w:t xml:space="preserve">) radušos ES fondu finansējuma ietaupījumus, ar Programmas grozījumiem Nr. 3 un Programmas grozījumiem Nr. 4 tiek palielināts 5.1.1.1. pasākumam pieejamais ERAF finansējums par 9 200 838 </w:t>
      </w:r>
      <w:r w:rsidR="00000000" w:rsidRPr="00000000" w:rsidDel="00000000">
        <w:rPr>
          <w:i w:val="1"/>
          <w:rtl w:val="0"/>
        </w:rPr>
        <w:t xml:space="preserve">euro</w:t>
      </w:r>
      <w:r w:rsidR="00000000" w:rsidRPr="00000000" w:rsidDel="00000000">
        <w:rPr>
          <w:rtl w:val="0"/>
        </w:rPr>
        <w:t xml:space="preserve">, t.i., no 130 037 695 </w:t>
      </w:r>
      <w:r w:rsidR="00000000" w:rsidRPr="00000000" w:rsidDel="00000000">
        <w:rPr>
          <w:i w:val="1"/>
          <w:rtl w:val="0"/>
        </w:rPr>
        <w:t xml:space="preserve">euro</w:t>
      </w:r>
      <w:r w:rsidR="00000000" w:rsidRPr="00000000" w:rsidDel="00000000">
        <w:rPr>
          <w:rtl w:val="0"/>
        </w:rPr>
        <w:t xml:space="preserve"> uz 139 238 533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ar noteikumu projektu veiktās pārdales,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3.1.1.8. pasākuma  kopējais finansējums ir 37 739 501 </w:t>
      </w:r>
      <w:r w:rsidR="00000000" w:rsidRPr="00000000" w:rsidDel="00000000">
        <w:rPr>
          <w:i w:val="1"/>
          <w:rtl w:val="0"/>
        </w:rPr>
        <w:t xml:space="preserve">euro</w:t>
      </w:r>
      <w:r w:rsidR="00000000" w:rsidRPr="00000000" w:rsidDel="00000000">
        <w:rPr>
          <w:rtl w:val="0"/>
        </w:rPr>
        <w:t xml:space="preserve">, tai skaitā Kohēzijas fonda finansējums – 32 078 574 </w:t>
      </w:r>
      <w:r w:rsidR="00000000" w:rsidRPr="00000000" w:rsidDel="00000000">
        <w:rPr>
          <w:i w:val="1"/>
          <w:rtl w:val="0"/>
        </w:rPr>
        <w:t xml:space="preserve">euro</w:t>
      </w:r>
      <w:r w:rsidR="00000000" w:rsidRPr="00000000" w:rsidDel="00000000">
        <w:rPr>
          <w:rtl w:val="0"/>
        </w:rPr>
        <w:t xml:space="preserve"> un valsts budžeta finansējums – 5 660 927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5.1.1.3. pasākuma kopējais finansējums ir 31 207 009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26 525 957 </w:t>
      </w:r>
      <w:r w:rsidR="00000000" w:rsidRPr="00000000" w:rsidDel="00000000">
        <w:rPr>
          <w:i w:val="1"/>
          <w:rtl w:val="0"/>
        </w:rPr>
        <w:t xml:space="preserve">euro</w:t>
      </w:r>
      <w:r w:rsidR="00000000" w:rsidRPr="00000000" w:rsidDel="00000000">
        <w:rPr>
          <w:rtl w:val="0"/>
        </w:rPr>
        <w:t xml:space="preserve"> un nacionālais finansējums (pašvaldību finansējums) – 4 681 052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4.2.1.7. pasākuma kopējais finansējums ir 45 641 300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38 795 105 </w:t>
      </w:r>
      <w:r w:rsidR="00000000" w:rsidRPr="00000000" w:rsidDel="00000000">
        <w:rPr>
          <w:i w:val="1"/>
          <w:rtl w:val="0"/>
        </w:rPr>
        <w:t xml:space="preserve">euro</w:t>
      </w:r>
      <w:r w:rsidR="00000000" w:rsidRPr="00000000" w:rsidDel="00000000">
        <w:rPr>
          <w:rtl w:val="0"/>
        </w:rPr>
        <w:t xml:space="preserve"> un nacionālais finansējums (pašvaldību finansējums) – 6 846 195 </w:t>
      </w:r>
      <w:r w:rsidR="00000000" w:rsidRPr="00000000" w:rsidDel="00000000">
        <w:rPr>
          <w:i w:val="1"/>
          <w:rtl w:val="0"/>
        </w:rPr>
        <w:t xml:space="preserve">euro</w:t>
      </w:r>
      <w:r w:rsidR="00000000" w:rsidRPr="00000000" w:rsidDel="00000000">
        <w:rPr>
          <w:rtl w:val="0"/>
        </w:rPr>
        <w:t xml:space="preserve">. Ar šo noteikuma projektu, nosakot turpmāko 4.2.1.7.  pasākuma finansējumu, ir ņemts vērā MK 2025. gada 27.  maija sēdes protokola Nr. 21. 42. § "Rīkojuma projekts "Grozījumi Ministru kabineta 2021. gada 16. novembra rīkojumā Nr. 841 "Par Eiropas Savienības kohēzijas politikas programmu 2021.–2027. gadam"""  7.4.apakšpunkts.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5.1.1.1. pasākuma pirmās un otrās atlases kārtas ietvaros plānošanas reģioniem ir izveidojies ERAF finansējuma atlikums (19,79 milj. </w:t>
      </w:r>
      <w:r w:rsidR="00000000" w:rsidRPr="00000000" w:rsidDel="00000000">
        <w:rPr>
          <w:i w:val="1"/>
          <w:rtl w:val="0"/>
        </w:rPr>
        <w:t xml:space="preserve">euro</w:t>
      </w:r>
      <w:r w:rsidR="00000000" w:rsidRPr="00000000" w:rsidDel="00000000">
        <w:rPr>
          <w:rtl w:val="0"/>
        </w:rPr>
        <w:t xml:space="preserve">), kurš pirmajā un otrajā atlases kārtā nav piesaistīts un jauns 5.1.1.1. pasākuma otrās atlases kārtas uzsaukums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55 9. punktā ir noteikti 5.1.1.1. pasākuma sasniedzamie rezultāta rādītāji un to vērtības, t.i. komersanti, kas gūst labumu no attīstītās publiskās infrastruktūras (turpmāk – komersanti), darba algu fonda pieaugums privātajos komersantos (turpmāk – darba algu fonda pieaugums) un privātās nefinanšu investīcijas nemateriālajos ieguldījumos un pamatlīdzekļos (turpmāk – nefinanšu investīcijas). Savukārt MK noteikumu Nr. 55 11. punkts ietver nosacījumus attiecībā uz darba algu fonda pieaugumu (jāsasniedz vismaz viena puse darba algu fonda pieaugums pret projektā piešķirto ERAF finansējumu) un nefinanšu investīcijām (jāpiesaista vismaz divu trešdaļu apmērā pret projektā piešķirto ERAF finansējumu), kuri ir jāievēro katra individuāla 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29. maijā Eiropas Komisijā iesniegti Programmas grozījumi Nr. 3, paredzot atvieglotus nosacījumus rādītāju sasniegšanai. Aktuālie statistikas dati un secinājumi par Latvijas ekonomikas attīstību, t.sk. Eiropas Komisijas, Eiropas Investīciju bankas, Starptautiskā Valūtas fonda, Latvijas bankas, Ārvalstu investoru padomes Latvijā secinājumi, Finanšu ministrijas makroekonomiskās prognozes, kā arī tas, ka līdzšinējie rādītāji balstīti datos pirms izmaiņām ģeopolitiskajā situācijā un pirms </w:t>
      </w:r>
      <w:r w:rsidR="00000000" w:rsidRPr="00000000" w:rsidDel="00000000">
        <w:rPr>
          <w:i w:val="1"/>
          <w:rtl w:val="0"/>
        </w:rPr>
        <w:t xml:space="preserve">Covid-19</w:t>
      </w:r>
      <w:r w:rsidR="00000000" w:rsidRPr="00000000" w:rsidDel="00000000">
        <w:rPr>
          <w:rtl w:val="0"/>
        </w:rPr>
        <w:t xml:space="preserve"> infekcijas pandēmijas izraisītajiem izaicinājumiem (atsauces un datu avotus skat. Programmas grozījumu Nr. 3 pielikumā rādītāju metodoloģijas aprakstā) liecina, ka Latvija saskaras ar pastiprinātu ģeopolitisko spriedzi, kas kavē ekonomisko izaugsmi, negatīvi ietekmējot ne tikai iekšzemes kopprodukta (turpmāk – IKP) izaugsmi un tirdzniecības apjomus, bet arī kopējo investīciju piesaisti, eksportu un tūrismu, ko papildus pasliktina arī tāds faktors kā ierobežota piekļuve finansējumam, kas kavē uzņēmējdarbību un investīcijas. Secināms, ka investoru zemāka aktivitāte un augstāka piesardzība mazina jaunu uzņēmējdarbības vietu veidošanos, attiecīgi darba vietu izveidi, kas tiešā veidā ietekmē arī darba algu fonda pieaugumu. Nenoteiktība pasaulē saglabājas augstā līmenī, pasliktinās Latvijas konkurētspēja vāja ārējā pieprasījuma apstākļos, ģeopolitiskie riski joprojām saglabājas augsti, kavējot privāto investoru plānus un saglabājas augsta privāto investoru piesardzība. Investoru aptaujās ģeopolitiskā situācija ir galvenais interesi mazinošais faktors, kas divkārt pārsniedz citus aptaujās norādītos aspektus. Ārvalstu investoru padome Latvijā norāda, ka ģeopolitiskā situācija ir mainījusi situāciju mūsu reģionā, attiecīgi investīciju klimata pievilcība Latvijā laikā no 2021. gada līdz 2023. gadam ir samazinājusies par 34 procentiem. Finanšu ministrijas publicētās makroekonomiskās prognozes liecina par būtisku samazinājumu IKP prognozēs, salīdzinot 2022.gada IKP prognozi uz 2025.gadu ar 2025. gada aprīlī prognozēto 2025. gada IKP prognozi, vērojams prognozētās vērtības kritums par 35 procentiem. Arī Eiropas Komisijas 2025. gada ziņojuma projektā par Latviju (</w:t>
      </w:r>
      <w:r w:rsidR="00000000" w:rsidRPr="00000000" w:rsidDel="00000000">
        <w:rPr>
          <w:i w:val="1"/>
          <w:rtl w:val="0"/>
        </w:rPr>
        <w:t xml:space="preserve">Draft 2025 Country Report)</w:t>
      </w:r>
      <w:r w:rsidR="00000000" w:rsidRPr="00000000" w:rsidDel="00000000">
        <w:rPr>
          <w:rtl w:val="0"/>
        </w:rPr>
        <w:t xml:space="preserve">, secināts, ka 2024. gadā Latvijas ekonomika saskārās ar recesiju (-0,4 procenti), ko galvenokārt ietekmēja ģeopolitiskie riski, radot nenoteiktību mājsaimniecību un uzņēmumu darbībā, tostarp ģeopolitisko risku radītas investoru piesaistes problēmas, kā arī privāto investīciju kavējumus augsto procentu likmju dēļ. Ziņojumā norādīts, ka minēto problēmu risināšanai nepieciešams, tai skaitā, atvieglot uzņēmumu pieeju finansējumam, mazināt reģionālo nevienlīdzību, veicināt ES finansējuma piesaisti ilgtermiņa izaugsmei.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rādītāja plānotajā vērtībā, ņemot vērā augstāk minētos ekonomiskos izaicinājumus ģeopolitiskās situācijas rezultātā, dotu stimulējošu ietekmi projektu īstenošanai un ekonomikās aktivitātes veicināšanai, pretstatā situācijai, ja pārāk augstu rādītāju prasību dēļ projekti netiktu īstenoti pilnībā.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saglabājoties sacensības (konkursa) elementam, joprojām tiktu atlasīti rādītāju un ekonomiskās atdeves ziņā efektīvākie projekti, kas, galvenokārt, ir projekti publiskajā infrastruktūrā, nevis tieši ieguldījumi komersanta pamatdarbībā un vienlaikus var būt saistīti ar drošībai un aizsardzībai svarīgu infrastruktūru (pievedceļi, komunikāciju tīklu pieslēgumi, ēku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pasākumam līdzīga satura uzņēmējdarbības publiskās infrastruktūras programmas Eiropas Savienības fondu 2014.— 2020. gada plānošanas periodā bija 3.3.1. specifiskā atbalsta mērķis "Palielināt privāto investīciju apjomu reģionos, veicot ieguldījumus uzņēmējdarbības attīstībai atbilstoši pašvaldību attīstības programmās noteiktajai teritoriju ekonomiskajai specializācijai un balstoties uz vietējo uzņēmēju vajadzībām" (turpmāk – 3.3.1. SAM), 5.6.2. specifiskā atbalsta mērķis "Teritoriju revitalizācija, reģenerējot degradētās teritorijas atbilstoši pašvaldību integrētajām attīstības programmām"  (turpmāk – 5.6.2. SAM) un 13.1.3. specifiskā atbalsta mērķa "Atveseļošanas pasākumi vides un reģionālās attīstības jomā" 13.1.3.3. pasākums "Teritoriju revitalizācija uzņēmējdarbības veicināšanai pašvaldībās" (turpmāk - 13.1.3.3. pasākums). Šajās programmās atbalstāmo darbību (piemēram, komercdarbības veicināšanai nepieciešamās satiksmes infrastruktūras būvniecības, pārbūves vai atjaunošanas, komercdarbības mērķiem paredzēto ēku būvniecības un pārbūves, industriālo pieslēgumu izbūves vai jaudas palielināšanas u.c.) rezultātā tika paredzēts sasniegt tādus rādītājus kā komersantu izveidotās darba vietas un komersantu piesaistītās nefinanšu investīcijas pašu nemateriālajos ieguldījumos un pamatlīdzekļos. Lai gan 3.3.1. SAM,  5.6.2. SAM un 13.1.3.3. pasākuma rādītāju sasniegšana turpinās līdz 2028. gadam, uz 2025. gada 11. novembri jau ir radītas 5 333 jaunas darba vietas (102,01% no MK noteikumos par šo pasākumu īstenošanu plānotajām 5 228 darba vietām) un piesaistītas komersantu nefinanšu investīcijas 419,63 milj.</w:t>
      </w:r>
      <w:r w:rsidR="00000000" w:rsidRPr="00000000" w:rsidDel="00000000">
        <w:rPr>
          <w:i w:val="1"/>
          <w:rtl w:val="0"/>
        </w:rPr>
        <w:t xml:space="preserve"> euro</w:t>
      </w:r>
      <w:r w:rsidR="00000000" w:rsidRPr="00000000" w:rsidDel="00000000">
        <w:rPr>
          <w:rtl w:val="0"/>
        </w:rPr>
        <w:t xml:space="preserve"> apmērā (134,14% no MK noteikumos par šo pasākumu īstenošanu plānotajiem 312,82 milj. </w:t>
      </w:r>
      <w:r w:rsidR="00000000" w:rsidRPr="00000000" w:rsidDel="00000000">
        <w:rPr>
          <w:i w:val="1"/>
          <w:rtl w:val="0"/>
        </w:rPr>
        <w:t xml:space="preserve">euro</w:t>
      </w:r>
      <w:r w:rsidR="00000000" w:rsidRPr="00000000" w:rsidDel="00000000">
        <w:rPr>
          <w:rtl w:val="0"/>
        </w:rPr>
        <w:t xml:space="preserve">), kas kopumā veicina ekonomisko aktivitāti reģionos. Saskaņā ar aktuālo Centrālās finanšu un līgumu aģentūras (turpmāk – CFLA) sniegto informāciju no 227 projektiem 3.3.1. SAM,  5.6.2. SAM un 13.1.3.3. pasākuma ietvaros kopumā ir 64 projekti, kuros piemērojami komercdarbības atbalsta nosacījumi saskaņā ar regulas Nr. 651/2014 56. pantu (nomas infrastruktūra – ēkas vai teritorijas), no kuriem tikai četros projektos līdz šim nav izdevies atrast nevienu nomnieku (līdz šim rīkotās nomas tiesību izsoles ir beigušās bez rezultātiem galvenokārt ģeopolitiskās situācijas ietekmētu apstākļu dēļ), kas sastāda 1,7% no kopējā projektu skaita un 6,25% no projektu skaita, kuriem tika piemēroti  regulas Nr. 651/2014 56. panta nosacījumi. Ņemot vērā, ka rādītāju sasniegšana vēl turpinās līdz 2028. gadam, finansējuma saņēmēji turpinās meklēt nomniekus projektu ietvaros attīstītajiem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“LATIO” nekustamo īpašumu eksperti prognozē, ka 2025. gadā varētu palielināties pieprasījums pēc komerciālo platību iegādes, ko sevišķi veicina kaimiņvalstu uzņēmumu attīstības plāni paplašināt savu darbību Latvijā. Tomēr atsevišķi industriāli segmenti augsto cenu dēļ var stagnēt un ierobežotais ražošanas telpu piedāvājums rada šķēršļus uzņēmumu izaugsmei. Eksperti norāda, ka  ļoti būtiska ir lokācija ar labi attīstītu infrastruktūru, tostarp sabiedriskā transporta savienojumiem. Uzņēmēji aizvien dod priekšroku nomai platībām biroju un industriālajā segmentā – tas samazina ilgtermiņa saistības un sniedz lielāku elastību biznesa attīstībā (</w:t>
      </w:r>
      <w:r w:rsidR="00000000" w:rsidRPr="00000000" w:rsidDel="00000000">
        <w:rPr>
          <w:i w:val="1"/>
          <w:rtl w:val="0"/>
        </w:rPr>
        <w:t xml:space="preserve">https://latio.lv/lv/Ka_komercipasumu_tirgus_reage_uz_ekonomiskaja#</w:t>
      </w:r>
      <w:r w:rsidR="00000000" w:rsidRPr="00000000" w:rsidDel="00000000">
        <w:rPr>
          <w:rtl w:val="0"/>
        </w:rPr>
        <w:t xml:space="preserve">). OECD savās rekomendācijās norāda, ka lielāka uzmanība būtu jāpievērš tam, lai, nodrošinot labu infrastruktūru, piemēram, ceļus un elektroenerģiju, tiktu izveidots spēcīgs pamats uzņēmumu uzplaukumam (OECD. Reģionu pievilcības pārskatīšana Latgales reģionā, Latvijā. 2024. Pieejams: </w:t>
      </w:r>
      <w:r w:rsidR="00000000" w:rsidRPr="00000000" w:rsidDel="00000000">
        <w:rPr>
          <w:i w:val="1"/>
          <w:rtl w:val="0"/>
        </w:rPr>
        <w:t xml:space="preserve">https://www.oecd.org/content/dam/oecd/en/about/programmes/cfe/rethinking-regional-attractiveness/rethinking-regional-attractiveness-in-the-region-of-latgale-latvia-lv.pdf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2025. gada augustā veica aptauju ar mērķi noskaidrot pašvaldību interesi par 5.1.1.1. pasākuma trešo atlases kārtu. Latvijas Lielo pilsētu asociācijas un biedrības "Reģionālo attīstības centru un novadu apvienības" sniegtie dati uzrādīja, ka pašvaldības 5.1.1.1. pasākumā plāno iesniegt indikatīvi 42 projektus par ERAF finansējuma apmēru 98,51 milj. </w:t>
      </w:r>
      <w:r w:rsidR="00000000" w:rsidRPr="00000000" w:rsidDel="00000000">
        <w:rPr>
          <w:i w:val="1"/>
          <w:rtl w:val="0"/>
        </w:rPr>
        <w:t xml:space="preserve">euro</w:t>
      </w:r>
      <w:r w:rsidR="00000000" w:rsidRPr="00000000" w:rsidDel="00000000">
        <w:rPr>
          <w:rtl w:val="0"/>
        </w:rPr>
        <w:t xml:space="preserve">, kas būtiski pārsniedz (175%) pieejamo 5.1.1.1. pasākuma trešās atlases kārtas ERAF finansējumu, kas ir 56,23 </w:t>
      </w:r>
      <w:r w:rsidR="00000000" w:rsidRPr="00000000" w:rsidDel="00000000">
        <w:rPr>
          <w:i w:val="1"/>
          <w:rtl w:val="0"/>
        </w:rPr>
        <w:t xml:space="preserve">euro</w:t>
      </w:r>
      <w:r w:rsidR="00000000" w:rsidRPr="00000000" w:rsidDel="00000000">
        <w:rPr>
          <w:rtl w:val="0"/>
        </w:rPr>
        <w:t xml:space="preserve">, par kuru plānots izsludināt 5.1.1.1. pasākuma trešo atlases kārtu, ar projektu iesniegšanas termiņu 2026.gada II ceturksnī. Atšķirībā no iepriekšējā plānošanas perioda, ES fondu 2021.— 2027. gada plānošanas periodā ir izrādīta lielāka interese no komersantiem uzņēmējdarbības pasākumu ietvaros veidot mērķorientētu infrastruktūru, t.i., tādu infrastruktūru, kas ir pielāgota konkrētā komersanta vajadzībām atbilstoši regulas Nr. 651/2014 14. panta nosacījumiem. Arī 5.1.1.1. pasākuma trešās atlases kārtas ietvaros ir sagaidāmi vairāki pašvaldību projekti, kuri tiks īstenoti sadarbībā ar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55 51.1. apakšpunkts paredz, ka gadījumos, ja projektu ir plānots īstenot atbilstoši Eiropas Komisijas 2014. gada 17. jūnija Regulas (ES) Nr. 651/2014, ar ko noteiktas atbalsta kategorijas atzīst par saderīgām ar iekšējo tirgu, piemērojot Līguma 107. un 108. pantu (turpmāk – regula Nr. 651/2014) 14. panta nosacījumiem, t.i., projekta ietvaros ir plānots veidot mērķorientētu infrastruktūru un komersants projektā tiek piesaistīts kā sadarbības partneris, projektā kā tiešās attiecināmās izmaksas var paredzēt ar elektroenerģiju darbināmu bezemisiju transportlīdzekļu uzlādes infrastruktūras izbūvi uzņēmējdarbības teritorijā ar izejas jaudu vismaz 150 kW, kas nozīmē, ka katra uzlādes punkta (iekārtas) pieslēgvietas izejas jauda var būt lielāka par 150 kW, bet nedrīkst būt mazāka par 150 kW. Ja projektā tika plānoti uzlādes punkti ar mazāku izejas jaudu par 150 kW, tie 5.1.1.1. pasākuma pirmajā un otrajā atlases kārtā netika attiecināti no 5.1.1.1. pasākuma attiecināmajām izmaksām, t.sk., netika attiecināta ar šiem uzlādes punktiem saistītas elektroapgādes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55 36.3.1. apakšpunkts paredz, ka 5.1.1.1. pasākuma ietvaros ir attiecināma satiksmes infrastruktūras būvniecība ar grants segumu tikai gadījumos, ja tiek būvēti jauni ceļi vai ielas. 5.1.1.1. pasākuma pirmās un otrās atlases kārtas laikā tika konstatēts, ka tiesiskās skaidrības nodrošināšanai ir nepieciešams precizēt MK noteikumu Nr. 55 36.3.1. apakšpunktā ietverto nosacījumu par 5.1.1.1. pasākuma ietvaros attiecināmo satiksmes infrastruktūras būvniecības seguma veidu, ja projekta ietvaros tiek būvēti jauni ceļi vai ielas.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55 32. punkts paredz visiem 5.1.1.1. pasākumā iesniegtajiem projektu iesniegumiem veikt izmaksu un ieguvumu analīzi (finanšu analīzi un ekonomisko analīzi), ievērojot, ka projekta ekonomiskā ienesīguma norma ir lielāka par sociālo diskonta likmi un projekta ekonomiskā neto pašreizējā vērtība ir lielāka par nulli. 5.1.1.1. pasākums ir pasākums, kurā tiek iesniegti uzņēmējdarbībai nepieciešamās publiskās infrastruktūras projekti un daļā no projektiem ir paredzētas projekta darbības, kas ir saistītas ar satiksmes infrastruktūras būvniecību, pārbūvi vai attīstību un industriālo pieslēgumu (komunikāciju tīklu) infrastruktūras attīstību. Satiksmes infrastruktūras projekti nav peļņu nesoši projekti, un to ieguvumi ir saistīti ar sociālekonomiskajiem ieguvumiem, piemēram, braukšanas laika izmaksu ietaupījumu, satiksmes negadījumu skaita samazināšanos, ieguvumiem no IKP pieauguma pateicoties jaunradītajām darbavietām, apkārt esošo uzņēmumu konkurētspējas pieaugumu u.c. Vienlaikus Latvijas valdība šī gada 21. februārī noteica "Valdības uzrāviena 4x4 prioritātes 2025. gadam", kur vienai no prioritātēm "Birokrātijas mazināšana par 20%" apakšprioritāte ir samazināt birokrātiju ES fondu finansējuma iegūšanai un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55 21. punkts nosaka, ka projekta iesnieguma maksimālais attiecināmais ERAF finansējuma apmērs nepārsniedz 85 procentus no projekta iesnieguma attiecināmo izmaksu summas. Savukārt MK noteikumu Nr. 55 22. punkts nosaka, ka nacionālais finansējums var būt mazāks par 15 procentiem no projekta iesnieguma attiecināmo izmaksu summas, ja projekta iesniegumu pamatojošās dokumentācijas sagatavošanas izmaksas tiek finansētas ar </w:t>
      </w:r>
      <w:r w:rsidR="00000000" w:rsidRPr="00000000" w:rsidDel="00000000">
        <w:rPr>
          <w:i w:val="1"/>
          <w:rtl w:val="0"/>
        </w:rPr>
        <w:t xml:space="preserve">de minimis</w:t>
      </w:r>
      <w:r w:rsidR="00000000" w:rsidRPr="00000000" w:rsidDel="00000000">
        <w:rPr>
          <w:rtl w:val="0"/>
        </w:rPr>
        <w:t xml:space="preserve"> atbalstu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kas nozīmē, ka var būt atsevišķi gadījumi, kad ERAF finansējuma apmērs pārsniedz 85 procentus no projekta iesnieguma attiecināmo izmaksu summas. Līdzīgu ietekmi uz ERAF finansējuma un nacionālā finansējuma apmēru var radīt, ja projektā ir plānotas darbības remediācijai un sanācijai atbilstoši regulas Nr. 651/2014 45. panta nosacījumiem (MK noteikumu Nr. 55 54.5.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Atsevišķos 5.1.1.1. pasākuma pirmās un otrajā atlases kārtas projektu iesniegumos projekta iesniedzēji vēlējās no 5.1.1.1. pasākuma izmaksām attiecināt satiksmes infrastruktūras (ielu, ceļu) ikdienas uzturēšanas darbus un seguma atjaunošanu atbilstoši MK 2014. gada 14. oktobra noteikumu Nr. 633 "Autoceļu un ielu būvnoteikumi" 64.7. apakšpunktam, t.i., veikt ceļa vai ielas "lāpīšanas" darbus bez būvniecības ieceres dokumentiem, kā rezultātā šādi darbi netika atbalstīti no 5.1.1.1. pasākuma.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noteikumu Nr. 55 36.5. apakšpunkts paredz attiecināmajās izmaksās iekļaut 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un elektroapgādes pakalpojumiem, kā arī nodrošinot, ka investīcijas nerada priekšrocības inženiertīklu īpašniekam un atbilst nosacījumiem par komercdarbības atbalsta sniegšanu. Piemērojot šo regulējumu praksē, ir identificētas situācijas, kurās, piemēram, veicot satiksmes infrastruktūras pārbūvi, izmainās slodze uz esošajiem elektronisko sakaru tīkliem, līdz ar to radot risku iespējamiem esošo elektronisko sakaru tīklu bojājumiem, tomēr no projektu attiecināmajām izmaksām elektronisko sakaru tīklu aizsardzības izmaksas ir jāizslēdz, tādejādi samazinot projektā no ES fondu līdzekļiem plānoto projekta finansējumu un palielinot projekta iesniedzēja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MK noteikumu Nr. 55 39.1. apakšpunkts nosaka, ka ieguldījumus infrastruktūrā projekta ietvaros finansējuma saņēmējs (publiska persona) un sadarbības partneris (publiska persona), tajos gadījumos, kad ieguldījumi ir plānoti tādām darbībām, kur nav piemērojami komercdarbības atbalsta nosacījumi, var veikt savā vai citas publiskas personas īpašumā. Šādas situācijas rodas, piemēram, satiksmes infrastruktūras projektos, kur pašvaldības īpašumā esošā satiksmes infrastruktūrai ir jānodrošina pieslēgšanās citas publiskas personas valdījumā esošajai satiksmes infrastruktūrai. Īstenojot 5.1.1.1. pasākuma pirmās un otrās atlases kārtas projektus, secināts, ka minētā punkta redakcija nav viennozīmīgi saprotama attiecībā uz ieguldījumiem tādas publiskas personas īpašumā, kura nav projekta iesniedzējs vai projekta sadarbības partneris, radot administratīvo slogu projektu īstenošanā un uzraudzībā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MK noteikumu Nr. 55 40. punkts nosaka, ka projekta iesniedzējam un projekta sadarbības partnerim (ja tāds projektā ir paredzēts) tiesības, kas ietver īpašuma un valdījuma tiesības atbilstoši MK noteikumu Nr. 55 39. punktā noteiktajam, ir nepieciešams nostiprināt zemesgrāmatās, pieļaujot izņēmumu, kas paredz, ja pašvaldības īpašums uz normatīvā akta, līguma vai pašvaldības lēmuma pamata ir nodots pašvaldības iestādes – projekta iesniedzēja – pārvaldīšanā, tad šajā gadījumā tiesības, kas ļauj veikt ieguldījumus, zemesgrāmatās nav jānostiprina. Līdzšinējā MK noteikumu Nr. 55 40. punkta redakcija neaptver nosacījumus par apgrūtinājumu reģistrēšanu Valsts kadastra informācijas sistēmā, lai gan projektu īstenošanas gaitā rodas situācijas, kurās nepieciešams veikt apgrūtinājumu reģistrēšanu piemērojamo normatīvo aktu kārtībā. Vienlaikus nepieciešams tehniski precizēt MK noteikumu Nr. 55 40. punkta redakciju attiecībā uz atbalstāmajiem ieguldījumiem nekustamajā īpašumā, kas ir zemes vienības un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Finanšu ministrijas 2025. gada 17. jūlija vadlīniju Nr. 1.4. "Vadlīnijas Ministru kabineta noteikumu par specifiskā atbalsta mērķa īstenošanu izstrādei Eiropas Savienības fondu 2021.— 2027. gada plānošanas periodā" 29. punktā noteiktajam MK noteikumu Nr. 55 76.7. apakšpunktā ietvertie nosacījumi būtu piemērojami tikai tādiem projektiem, kuru ietvaros finansējuma saņēmējam projekta īstenošanā paredzēts sniegt atbalstu gala labuma guvējam. Tā kā MK noteikumi Nr. 55 neparedz, ka finansējuma saņēmējs atlases kārtībā projektu sadarbības partneriem vai komersantiem, kas gūst labumu no projekta ietvaros attīstītās infrastruktūras, nesniedz finansiālu atbalstu, tad MK noteikumu Nr. 55 76.7. apakšpunkts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MK noteikumu Nr. 55 76.2. apakšpunkts nosaka finansējuma saņēmēja pienākumu, īstenojot 5.1.1.1. pasākuma projektu, ievērot horizontālo principu (turpmāk – HP) "Vienlīdzība, iekļaušana, nediskriminācija un pamattiesību ievērošana" (turpmāk –VINPI) un uzkrāt datus par projekta ietekmi uz HP rādītājiem. 5.1.1.1. pasākuma līdzšinējās atlases kārtās viena vai abu rādītāju noteikšana projektā bija obligāta, lai nodrošinātu minimālās prasības projektu iesniegumos (atbilstoši atlases nolikumam pirmajā atlases kārtā, kas bija IPIA, bija jānodrošina divi rādītāji, bet otrajā atlases kārtā, kas bija APIA, lai izpildītu minimālās prasības projektos, bija jānodrošina vismaz viens rādītājs). Attiecīgi atbilstoši MK noteikumu Nr. 55 76.4. apakšpunktam, paredzēta HP VINPI rādītāju datu ziņošana.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5.1.1.1. pasākuma investīcijas komersantiem nepieciešamajā publiskajā infrastruktūrā un pieļaujot attiecināmās izmaksas, t.sk, ielu apgaismojumam, MK noteikumu Nr. 55 76.3.2. apakšpunktā tika noteiktas prasības, ievērot HP principu "Energoefektivitāte pirmajā vietā". Ņemot vērā, ka 5.1.1.1. pasākuma tiešais mērķis nav energoefektivitātes uzlabošana, bet mērķis ir attīstīt uzņēmējdarbības publisko infrastruktūru un palielināt privāto investīciju apjomu pilsētu funkcionālajās teritorijās, veicot ieguldījumus uzņēmējdarbības attīstībai atbilstoši pašvaldību attīstības programmām, tika pieteikti arī tādi projekti, kur attiecināmajās izmaksās iekļautām komponentēm nav iespējams piemērot energoefektivitātes nosacījumus. Līdz ar to MK noteikumu Nr. 55 76.3.2. un 76.4. apakšpunktā ietverto prasību nav nepieciešams noteikt kā obligātu visiem 5.1.1.1. pasākuma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55 76.5. apakšpunktā noteikta prasība, ka projekta ietvaros, veicot ieguldījumus apgaismojuma sistēmas renovācijā, ēku pārbūvē vai atjaunošanā, finansējuma saņēmējam pēc projekta īstenošanas trīs gadus ir jāiesniedz sadarbības iestādē informācija par ikgadējo enerģijas patēriņu. Tomēr, ņemot vērā sadarbības iestādes sniegto informāciju par pieredzi līdzšinējo projektu īstenošanā, secināms, ka samērīga prasība būtu finansējuma saņēmējam par enerģijas patēriņu ziņot vienu reizi par pilno kalendāra gadu pēc projekta beigām. Prasība par enerģijas patēriņa ziņošanu noteikta atbilstoši Energoefektivitātes likuma 15. panta ceturtajai daļai, kur cita starpā norādīts izņēmums, paredzot, ka finansējuma saņēmēja un iestādes, kura ir atbildīga par finansējuma piešķiršanu, līgumā var būt noteikts cits ziņošanas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MK noteikumu Nr. 55 62.3., 62.4. un 62.5. apakšpunkts nosaka, ka komercdarbības atbalstu saskaņā ar regulu Nr. 651/2014 projekta iesniedzējam un sadarbības partnerim nepiešķir, ja uz saņēmēju attiecas līdzekļu atgūšanas rīkojums saskaņā ar iepriekšēju Komisijas lēmumu, ar ko atbalsts tiek atzīts par nelikumīgu un nesaderīgu ar kopējo tirgu (Regulu Nr. 651/2014 1.panta 4.punkta "a" apakšpunkts), ja saņēmējs ir grūtībās nonācis uzņēmums, kas atbilst vismaz vienai no regulas Nr. 651/2014 2. panta 18. punktā paredzētajām situācijām un ja individuālais atbalsts nepārsniedz Regulu Nr. 651/2014  4. panta 1. punkta "a", "s" un "cc" apakšpunktā noteiktās paziņošanas robežvērtības. Ņemot vērā, ka šie nosacījumi, kas attiecas uz uzņēmumu, ir jāvērtē/jāpiemēro uzņēmuma grupas līmenī, ir nepieciešams precizēt MK noteikumu Nr. 55 62.3., 62.4. un 62.5.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MK noteikumu Nr. 55 10. punkts nosaka, kādos gadījumos ir attiecināmas rezultāta rādītāju vērtības (darba algu fonda pieaugums, nefinanšu investīcijas, komersanti). Ņemot vērā nepieciešamību veicināt militārās ražošanas attīstību Latvijā, MK noteikumu Nr. 55 10. punkts tiek papildināts ar jaunu apakšpunktu, kas paredz jaunu nosacījumu, kādā gadījumā vēl var attiecināt 5.1.1.1. pasākuma rezultāta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MK noteikumu Nr. 55 34.3. apakšpunkts un 36.4. apakšpunkts nosaka, ka no 2025. gada 1. janvāra 5.1.1.1. pasākuma ietvaros nav atbalstāmas uzņēmējdarbības mērķiem paredzēto ēku un ar tām saistītās infrastruktūras attīstīšana, kas darbojas šādās tautsaimniecības nozarēs: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 Pēc Latvijas Tirdzniecības un rūpniecības kameras iniciatīvas ar noteikumu projektu tiek paplašināts atbalstāmo tautsaimniecības nozaru loks, kurās 5.1.1.1. pasākuma ietvaros ir atbalstāma uzņēmējdarbības mērķiem paredzēto ēku un ar tām saistītās infrastruktūras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MK noteikumu Nr. 55 66.8. apakšpunkts paredz pienākumu projekta iesniedzējam iesniegt sadarbības iestādē vispārējas tautsaimnieciskas nozīmes pakalpojuma pilnvarojuma uzlicēja apliecinājumu par atlīdzības (kompensācijas) maksājumu kontroli un pārskatīšanu, kā arī minēto maksājumu pārmaksas novēršanu un atgūšanu, ievērojot ES līmenī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ES līmenī noteikto pārbaužu regularitāti, bet ne retāk kā reizi trijos gados un pilnvarojuma akta darbības perioda beigās. Atbilstoši Finanšu ministrijas un CFLA izteiktajai iniciatīvai administratīvā sloga mazināšanas ietvaros turpmāk nepieprasīt projekta iesniedzējam iesniegt  sadarbības iestādē vispārējas tautsaimnieciskas nozīmes pakalpojuma pilnvarojuma uzlicēja apliecinājumu par atlīdzības (kompensācijas) maksājumu kontroli un pārskatīšanu, ar noteikumu projektu šis MK noteikumu Nr. 55 66.8. apakšpunkts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Atbilstoši Līguma par Eiropas Savienības darbību 346. panta 1.daļas (b) apakšpunktā noteiktajam, pasākumiem, kas saistīti tikai ar aizsardzības mērķi, komercdarbības atbalsta regulējuma nosacījumus nav jāpiemēro, ja publiskā finansējuma piešķiršana (jebkādā formā) saimnieciskās darbības veicējiem ir paredzēta to īstenotajām darbībām vienīgi militārajā jomā,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(skatīt Komisijas paziņojuma par Līguma ar Eiropas Savienības darbību 107. panta 1. punktā minēto valsts atbalsta jēdzienu (2016/C 262/01)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jomas komersantam, kurš savu saimniecisko darbību veic vienīgi militārajā jomā, ir iespēja pieteikt projektu saskaņā ar Ekonomikas ministrijas (turpmāk – EM) izstrādātajiem un MK 2025. gada 11. novembrī apstiprinātajiem noteikumiem "Noteikumi par aizdevumiem ar kapitāla atlaidi lielo investīciju projektu atbalstam" (25-TA-1241), kas arī cita starpā nosaka, ka: 1) finansējums, kas tiek piešķirts investīciju projektiem tikai militārā jomā, nav kvalificējams kā komercdarbības atbalsts atbilstoši Līguma par Eiropas Savienības darbību 346.panta 1.daļas (b) apakšpunktā noteikto, ja ir saņemts Aizsardzības ministrijas atzinums par investīciju projekta atbilstību būtiskām drošības interesēm saistībā ar ieroču, munīcijas un militārā aprīkojuma ražošanu; 2) komersantam visā amortizācijas periodā atbilstoši normatīvajiem aktiem grāmatvedības jomā ir pienākums nodrošināt darbības vai izmaksu nošķiršanu, lai no saņemtā atbalsta labumu gūst tikai militārās jomas investīciju projekts. Ja komersants visā amortizācijas periodā atbilstoši normatīvajiem aktiem grāmatvedības jomā uzsāk darbības, kurām sniegtais atbalsts kvalificējams kā komercdarbības atbalsts, izmantojot ar aizdevumu līdzfinansētā investīciju projekta ietvaros iegādātos vai izveidotos materiālos vai nemateriālos aktīvus, saņemtais atbalsts kvalificējams kā nelikumīgs komercdarbības atbalsts, kurš saskaņā ar Komercdarbības atbalsta kontroles likuma IV vai V nodaļu jāatmaksā sabiedrībai "Altum" no komersanta finansējuma, par ko nav saņemts nekāds komercdarbības atbalsts. Papildus, saskaņošanas noslēgumā ir arī EM izstrādātais MK noteikumu projekts "Noteikumi par atbalstu projektiem rūpniecisko spēju uzlabošanai" (25-TA-1652), kuru mērķis ir nodrošināt finansējuma pieejamību gala saņēmēju attīstībai Latvijā, sniedzot atbalstu militāru vai divējāda lietojuma produktu ieviešanai un komercializācijai, tostarp atbalstot ar šo produktu ieviešanu saistīto jaunu ēku, tai skaitā ražošanas ēku un ražošanai nepieciešamās infrastruktūras izbūvi, iekārtu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pašreizējo ģeopolitisko situāciju reģionā un ievērojot Latvijas valdības prioritātes, tai skaitā Ministru prezidentes 2025. gada 11. marta rezolūciju Nr. 2025-1.1.1./9-9, kas paredz aizsardzības industrijas projektus noteikt par prioritāriem, ar mērķi veicināt aizsardzības industrijas attīstību Latvijā un veicināt Latvijas konkurētspēju aizsardzības investīciju piesaistes jomā, arī MK noteikumos Nr. 55 ir nepieciešams paredzēt regulējumu, ka 5.1.1.1. pasākuma trešajā atlases kārtā ERAF finansējums, kas MK noteikumu Nr. 55 ietvaros tiek piešķirts MK noteikumu Nr. 55 27.1. apakšpunktā minētajam projekta sadarbības partnerim tā īstenotajām darbībām vienīgi militārajā jomā, nav kvalificējams kā komercdarbības atbalsts, ja ir saņemts Aizsardzības ministrijas atzinums par 5.1.1.1. pasākuma trešās atlases kārtas projekta atbilstību būtiskām Latvijas valsts drošības un aizsardzības interesēm saistībā ar ieroču, munīcijas un militārā aprīkojuma ražošanu vai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pasākuma pirmās un otrās atlases kārtas ietvaros plānošanas reģioniem ir izveidojies ERAF finansējuma atlikums (19,79 milj. </w:t>
      </w:r>
      <w:r w:rsidR="00000000" w:rsidRPr="00000000" w:rsidDel="00000000">
        <w:rPr>
          <w:i w:val="1"/>
          <w:rtl w:val="0"/>
        </w:rPr>
        <w:t xml:space="preserve">euro</w:t>
      </w:r>
      <w:r w:rsidR="00000000" w:rsidRPr="00000000" w:rsidDel="00000000">
        <w:rPr>
          <w:rtl w:val="0"/>
        </w:rPr>
        <w:t xml:space="preserve">), kurš pirmajā un otrajā atlases kārtā nav piesaistīts kā arī ņemot vērā ar Programmas grozījumiem Nr.3 un Programmas grozījumiem Nr. 4 ierosinātās finansējuma pārdales, 5.1.1.1. pasākuma trešajai kārtai plānotais ERAF finansējums palielināsies līdz 56,23 milj. </w:t>
      </w:r>
      <w:r w:rsidR="00000000" w:rsidRPr="00000000" w:rsidDel="00000000">
        <w:rPr>
          <w:i w:val="1"/>
          <w:rtl w:val="0"/>
        </w:rPr>
        <w:t xml:space="preserve">euro</w:t>
      </w:r>
      <w:r w:rsidR="00000000" w:rsidRPr="00000000" w:rsidDel="00000000">
        <w:rPr>
          <w:rtl w:val="0"/>
        </w:rPr>
        <w:t xml:space="preserve">. Vienlaikus noteikumu projektā iekļautie labvēlīgākie nosacījumu projektu iesniedzējiem un sadarbības partneriem raisa lielāku interesi par uzņēmējdarbībai nepieciešamās infrastruktūras attīstību gan no pašvaldības, gan komersantu puses. noteikumu projekta apstiprināšana dos iespēju pēc iespējas drīzāk izsludināt 5.1.1.1. pasākuma trešo atlases kārtu ar atvieglotiem nosacījumiem projektu iesniedzējiem un sadarbības partneriem kā arī veicinās 5.1.1.1. pasākuma ietvaros plānoto budžeta mērķu sasniegšanu, t.i. Eiropas Komisijas noteiktā ikgadēji deklarējamo izdevumu minimālā mērķa (turpmāk – n+3 princips)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izmaiņas paredz kopumā labvēlīgākus nosacījumus projektu iesniedzējiem un sadarbības partneriem, kas veicinātu 5.1.1.1. pasākuma ietvaros plānoto budžeta mērķu sasniegšanu, t.i. n+3 principa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 palielināt 5.1.1.1. pasākumam pieejamo ERAF finansējumu par 9 200 838 </w:t>
      </w:r>
      <w:r w:rsidR="00000000" w:rsidRPr="00000000" w:rsidDel="00000000">
        <w:rPr>
          <w:i w:val="1"/>
          <w:rtl w:val="0"/>
        </w:rPr>
        <w:t xml:space="preserve">euro</w:t>
      </w:r>
      <w:r w:rsidR="00000000" w:rsidRPr="00000000" w:rsidDel="00000000">
        <w:rPr>
          <w:rtl w:val="0"/>
        </w:rPr>
        <w:t xml:space="preserve"> (t.sk. elastības finansējumu – 4 200 838 </w:t>
      </w:r>
      <w:r w:rsidR="00000000" w:rsidRPr="00000000" w:rsidDel="00000000">
        <w:rPr>
          <w:i w:val="1"/>
          <w:rtl w:val="0"/>
        </w:rPr>
        <w:t xml:space="preserve">euro</w:t>
      </w:r>
      <w:r w:rsidR="00000000" w:rsidRPr="00000000" w:rsidDel="00000000">
        <w:rPr>
          <w:rtl w:val="0"/>
        </w:rPr>
        <w:t xml:space="preserve">), t.i., no 130 037 695 </w:t>
      </w:r>
      <w:r w:rsidR="00000000" w:rsidRPr="00000000" w:rsidDel="00000000">
        <w:rPr>
          <w:i w:val="1"/>
          <w:rtl w:val="0"/>
        </w:rPr>
        <w:t xml:space="preserve">euro</w:t>
      </w:r>
      <w:r w:rsidR="00000000" w:rsidRPr="00000000" w:rsidDel="00000000">
        <w:rPr>
          <w:rtl w:val="0"/>
        </w:rPr>
        <w:t xml:space="preserve"> uz 139 238 533 </w:t>
      </w:r>
      <w:r w:rsidR="00000000" w:rsidRPr="00000000" w:rsidDel="00000000">
        <w:rPr>
          <w:i w:val="1"/>
          <w:rtl w:val="0"/>
        </w:rPr>
        <w:t xml:space="preserve">euro</w:t>
      </w:r>
      <w:r w:rsidR="00000000" w:rsidRPr="00000000" w:rsidDel="00000000">
        <w:rPr>
          <w:rtl w:val="0"/>
        </w:rPr>
        <w:t xml:space="preserve"> (t.sk. elastības finansējumu no 27 236 133 </w:t>
      </w:r>
      <w:r w:rsidR="00000000" w:rsidRPr="00000000" w:rsidDel="00000000">
        <w:rPr>
          <w:i w:val="1"/>
          <w:rtl w:val="0"/>
        </w:rPr>
        <w:t xml:space="preserve">euro</w:t>
      </w:r>
      <w:r w:rsidR="00000000" w:rsidRPr="00000000" w:rsidDel="00000000">
        <w:rPr>
          <w:rtl w:val="0"/>
        </w:rPr>
        <w:t xml:space="preserve"> uz 31 436 971 </w:t>
      </w:r>
      <w:r w:rsidR="00000000" w:rsidRPr="00000000" w:rsidDel="00000000">
        <w:rPr>
          <w:i w:val="1"/>
          <w:rtl w:val="0"/>
        </w:rPr>
        <w:t xml:space="preserve">euro</w:t>
      </w:r>
      <w:r w:rsidR="00000000" w:rsidRPr="00000000" w:rsidDel="00000000">
        <w:rPr>
          <w:rtl w:val="0"/>
        </w:rPr>
        <w:t xml:space="preserve">), vienlaikus precizējot ERAF finansējuma sadalījumu starp 5.1.1.1. pasākuma atlases kārtām pamatojoties uz MK noteikumu Nr. 55 19. punktu un 20.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finansējumam (139 238 533 </w:t>
      </w:r>
      <w:r w:rsidR="00000000" w:rsidRPr="00000000" w:rsidDel="00000000">
        <w:rPr>
          <w:i w:val="1"/>
          <w:rtl w:val="0"/>
        </w:rPr>
        <w:t xml:space="preserve">euro</w:t>
      </w:r>
      <w:r w:rsidR="00000000" w:rsidRPr="00000000" w:rsidDel="00000000">
        <w:rPr>
          <w:rtl w:val="0"/>
        </w:rPr>
        <w:t xml:space="preserve">) ir šādas intervences kategorijas: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48"/>
        <w:gridCol w:w="2592"/>
        <w:tblGridChange w:id="0">
          <w:tblGrid>
            <w:gridCol w:w="6748"/>
            <w:gridCol w:w="25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Intervences kategorijas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ERAF finansējums, </w:t>
            </w:r>
            <w:r w:rsidR="00000000" w:rsidRPr="00000000" w:rsidDel="00000000">
              <w:rPr>
                <w:sz w:val="24"/>
                <w:b w:val="1"/>
                <w:i w:val="1"/>
                <w:u w:val="single"/>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Intervences laukums: </w:t>
            </w:r>
            <w:r w:rsidR="00000000" w:rsidRPr="00000000" w:rsidDel="00000000">
              <w:rPr>
                <w:sz w:val="24"/>
                <w:rtl w:val="0"/>
              </w:rPr>
              <w:t xml:space="preserve">020 -  MVU uzņēmējdarbības infrastruktūra (tostarp rūpniecības parki un zonas)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139 238 533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veids:</w:t>
            </w:r>
            <w:r w:rsidR="00000000" w:rsidRPr="00000000" w:rsidDel="00000000">
              <w:rPr>
                <w:sz w:val="24"/>
                <w:rtl w:val="0"/>
              </w:rPr>
              <w:t xml:space="preserve"> 01 – Dotācija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139 238 533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Teritorijas sasniegšanas mehānismi:</w:t>
            </w:r>
            <w:r w:rsidR="00000000" w:rsidRPr="00000000" w:rsidDel="00000000">
              <w:rPr>
                <w:sz w:val="24"/>
                <w:rtl w:val="0"/>
              </w:rPr>
              <w:t xml:space="preserve"> 019 - Funkcionālās pilsētvides teritorijas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139 238 533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Dzimumu līdztiesība:</w:t>
            </w:r>
            <w:r w:rsidR="00000000" w:rsidRPr="00000000" w:rsidDel="00000000">
              <w:rPr>
                <w:sz w:val="24"/>
                <w:rtl w:val="0"/>
              </w:rPr>
              <w:t xml:space="preserve"> 03 – Dzimumu neitralitāte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139 238 533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Makroreģionālā un jūras baseinu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 Nav ieguldījuma makroreģionālajās un jūras baseina stratēģijās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51 746 507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56 055 055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5.1.1.1. pasākuma trešās atlases kārtas (APIA) ERAF finansējums tiek sadalīts divās daļās,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 – plānošanas reģioniem pieejamais ERAF finansējums, kurš veidojas no katram plānošanas reģionam pirmajā un otrajā atlases kārtā neizmantotā ERAF finansējuma atlikuma, kur iesniegtie projektu iesniegumi konkurē katra plānošanas reģiona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 ERAF finansējums (elastības finansējums), kurš konkursa kārtībā būs pieejams visiem 5.1.1.1. pasākumā noteiktajiem projektu iesniedzējiem, to nesadalot starp plānošanas reģioniem, t.i., kopīgs konkurss starp visiem iesniegtajiem projektu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pēc trešās atlases kārtas izsludināšanas, pirmās un otrās atlases kārtas ERAF finansējumu un ERAF finansējumu, kas atbrīvosies pirmās, otrās atlases kārtas projektu īstenošanas rezultātā un to trešās atlases kārtas projektu īstenošanas rezultātā, kuri konkurēja katra plānošanas reģiona ietvaros (1. daļa), tiks novirzīts trešās atlases kārtas daļai, kurā ir paredzēts konkurss starp visu projektu iesniedzēju iesniegtajiem projektu iesniegumiem (2. daļa). Savukārt, ja Centrālajā finanšu un līgumu aģentūrā netiks iesniegti trešās atlases kārtas projektu iesniegumi, kuri konkurē katra plānošanas reģiona ietvaros (1. daļa), neizmantotais ERAF tiks novirzīts trešās atlases kārtas daļai, kurā ir paredzēts konkurss starp visu projektu iesniedzēju iesniegtajiem projektu iesniegumiem (2.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 noteikt atvieglotas prasības attiecībā uz divu rezultāta rādītāju sasniegšanu 5.1.1.1. pasākuma trešajā atlases kārtā, t.i., noteikumu projekts paredz, ka projekta iesniedzējiem ir jāpiesaista nefinanšu investīcijas vismaz vienas trešdaļas apmērā (iepriekš divu trešdaļu apmērā) no piešķirtā ERAF finansējuma un jāpiesaista darba alga fonda pieaugums vismaz vienas trešdaļas apmērā (iepriekš 50 procentu apmērā) no piešķirtā ERAF finansējuma, t.i., vidēji viena </w:t>
      </w:r>
      <w:r w:rsidR="00000000" w:rsidRPr="00000000" w:rsidDel="00000000">
        <w:rPr>
          <w:i w:val="1"/>
          <w:rtl w:val="0"/>
        </w:rPr>
        <w:t xml:space="preserve">euro </w:t>
      </w:r>
      <w:r w:rsidR="00000000" w:rsidRPr="00000000" w:rsidDel="00000000">
        <w:rPr>
          <w:rtl w:val="0"/>
        </w:rPr>
        <w:t xml:space="preserve">darba algu fonda pieaugumā iegulda ne vairāk kā trīs </w:t>
      </w:r>
      <w:r w:rsidR="00000000" w:rsidRPr="00000000" w:rsidDel="00000000">
        <w:rPr>
          <w:i w:val="1"/>
          <w:rtl w:val="0"/>
        </w:rPr>
        <w:t xml:space="preserve">euro</w:t>
      </w:r>
      <w:r w:rsidR="00000000" w:rsidRPr="00000000" w:rsidDel="00000000">
        <w:rPr>
          <w:rtl w:val="0"/>
        </w:rPr>
        <w:t xml:space="preserve"> ERAF finansējuma. Līdz ar to darba algu fonda pieauguma rādītāja vērtība samazināta no 65 018 848 </w:t>
      </w:r>
      <w:r w:rsidR="00000000" w:rsidRPr="00000000" w:rsidDel="00000000">
        <w:rPr>
          <w:i w:val="1"/>
          <w:rtl w:val="0"/>
        </w:rPr>
        <w:t xml:space="preserve">euro</w:t>
      </w:r>
      <w:r w:rsidR="00000000" w:rsidRPr="00000000" w:rsidDel="00000000">
        <w:rPr>
          <w:rtl w:val="0"/>
        </w:rPr>
        <w:t xml:space="preserve"> uz 60 247 387 </w:t>
      </w:r>
      <w:r w:rsidR="00000000" w:rsidRPr="00000000" w:rsidDel="00000000">
        <w:rPr>
          <w:i w:val="1"/>
          <w:rtl w:val="0"/>
        </w:rPr>
        <w:t xml:space="preserve">euro</w:t>
      </w:r>
      <w:r w:rsidR="00000000" w:rsidRPr="00000000" w:rsidDel="00000000">
        <w:rPr>
          <w:rtl w:val="0"/>
        </w:rPr>
        <w:t xml:space="preserve">, nefinanšu investīciju rādītāja vērtība samazināta no 86 691 797 </w:t>
      </w:r>
      <w:r w:rsidR="00000000" w:rsidRPr="00000000" w:rsidDel="00000000">
        <w:rPr>
          <w:i w:val="1"/>
          <w:rtl w:val="0"/>
        </w:rPr>
        <w:t xml:space="preserve">euro</w:t>
      </w:r>
      <w:r w:rsidR="00000000" w:rsidRPr="00000000" w:rsidDel="00000000">
        <w:rPr>
          <w:rtl w:val="0"/>
        </w:rPr>
        <w:t xml:space="preserve"> uz 74 081 929 </w:t>
      </w:r>
      <w:r w:rsidR="00000000" w:rsidRPr="00000000" w:rsidDel="00000000">
        <w:rPr>
          <w:i w:val="1"/>
          <w:rtl w:val="0"/>
        </w:rPr>
        <w:t xml:space="preserve">euro</w:t>
      </w:r>
      <w:r w:rsidR="00000000" w:rsidRPr="00000000" w:rsidDel="00000000">
        <w:rPr>
          <w:rtl w:val="0"/>
        </w:rPr>
        <w:t xml:space="preserve">. Vienlaikus atbilstoši Programmas grozījumos Nr. 3 un Programmas grozījumos Nr. 4 rosinātajām izmaiņām, ir precizēta komersantu rādītāja vērtība, to palielinot no 44 komersantiem uz 46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 nenoteikt minimālo izejas jaudu ar elektroenerģiju darbināmu bezemisiju transportlīdzekļu uzlādes infrastruktūras izbūvei uzņēmējdarbības teritorijā, ja 5.1.1.1. pasākuma projektu ir plānots īstenot atbilstoši regulas Nr. 651/2014 14. panta nosacījumiem, t.i., projekta ietvaros ir plānots veidot mērķorientētu infrastruktūru un komersants projektā tiek piesaistīts kā sadarbības partneris, attiecīgi nosacījums mazina ierobežojumu un dod iespēju komersantam kā projekta sadarbības partnerim izvēlēties ekonomiski izdevīgāko un savas saimnieciskās darbības specifikai piemērotāko risinājumu. Ar elektroenerģiju darbināmu bezemisiju transportlīdzekļu uzlādes infrastruktūra ir atbalstāma tad, ja tā ir nepieciešama komersanta vajadzībām savas saimnieciskās darbības nodrošināšanai, piemēram, darba transportlīdzekļu uzlādei ražošanas procesa kopuma nodrošināšanai, piemēram, elektriskie iekrāvēji (noliktavai, ražošanas cehiem), elektriskie palešu rati (palešu pārvietošanai), elektriskie vilcēji / tuggeri (piekabju vai ratiņu vilkšanai rūpnīcā), elektriskie industriālie transportlīdzekļi (</w:t>
      </w:r>
      <w:r w:rsidR="00000000" w:rsidRPr="00000000" w:rsidDel="00000000">
        <w:rPr>
          <w:i w:val="1"/>
          <w:rtl w:val="0"/>
        </w:rPr>
        <w:t xml:space="preserve">utility vehicles</w:t>
      </w:r>
      <w:r w:rsidR="00000000" w:rsidRPr="00000000" w:rsidDel="00000000">
        <w:rPr>
          <w:rtl w:val="0"/>
        </w:rPr>
        <w:t xml:space="preserve">) kustībai ražotnes teritorijā (instrumentiem, detaļām, iekšējai loģistikai), elektriskie furgoni piegādēm starp objektiem (ja ražošanai ir iekšējā loģistika/piegādes), elektriskie kravas mikroauto (ja nepieciešams vest materiālus ražotnes teritorijā), elektriskie pacēlāji (šķēru pacēlāji, </w:t>
      </w:r>
      <w:r w:rsidR="00000000" w:rsidRPr="00000000" w:rsidDel="00000000">
        <w:rPr>
          <w:i w:val="1"/>
          <w:rtl w:val="0"/>
        </w:rPr>
        <w:t xml:space="preserve">"boom lift"</w:t>
      </w:r>
      <w:r w:rsidR="00000000" w:rsidRPr="00000000" w:rsidDel="00000000">
        <w:rPr>
          <w:rtl w:val="0"/>
        </w:rPr>
        <w:t xml:space="preserve">) (montāžai, apkopei ražošanā) u.c.  Uz 5.1.1.1. pasākuma pirmo un otro atlase kārtu šis nosacījums nav attiecināms, ņemot vērā, ka šajās atlases kārtās atbilstoši lēmumi ir jau pieņemti, kuri tika balstīti uz MK noteikumu Nr. 55 36.1.7. apakšpunktu, kurš attiecīgā lēmuma pieņemšanas brīdī bija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tiesiskās skaidrības nodrošināšanai precizē nosacījumu par 5.1.1.1. pasākuma ietvaros attiecināmo satiksmes infrastruktūras būvniecības seguma veidu, ja projekta ietvaros tiek būvēti jauni ceļi vai ielas. Noteikumu projekts paredz, ka ar saistvielām nesaistītu minerālmateriālu maisījumu (piem., grants, dolomīta šķembas) satiksmes infrastruktūras būvniecības gadījumā var izmantot tikai jaunu ceļu vai ielu būvniecībā nevis esošu ceļu vai ielu pārbūvē. Precizējums noteikumu projektā nemaina regulējumu, kāds tika piemērots 5.1.1.1. pasākuma pirmajā un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paredz 5.1.1.1. pasākuma trešajā atlases kārtā veikt izmaksu un ieguvumu analīzi (finanšu analīzi) tikai tajos projektos, kuros plānots piemērot regulas Nr. 651/2014 56. pantā paredzēto atbalstu, t.i., projekta ietvaros ir paredzēts veidot infrastruktūru, kuru atklātas, pārredzamas un nediskriminējošas procedūras rezultātā ir plānots nodot nomā komersantam saimnieciskās darbības veikšanai. Šādas izmaiņas 5.1.1.1. pasākuma trešās atlases kārtas projektu iesniedzējiem un sadarbības partneriem mazinās administratīvo slogu un atvieglos projekta iesnieguma sagatavošanu gadījumos, ja projekta iesniegumā būs plānotas darbības, kurām nepiemēro komercdarbības atbalsu (piem., publiski pieejamas satiksmes infrastruktūras izbūve), darbības ūdenssaimniecībai vai siltumapgādei ar vispārējas tautsaimnieciskas nozīmes pakalpojuma atbalstu, darbības, kurās plānots piemērot regulas Nr. 651/2014 14., 41. un 45. panta atbalstu. Ja projekta ietvaros vienlaikus ir paredzēts veidot ne tikai infrastruktūru, kuru atklātas, pārredzamas un nediskriminējošas procedūras rezultātā ir plānots nodot nomā komersantam saimnieciskās darbības veikšanai (regulas Nr. 651/2014 56. pants), bet arī, piemēram, publisko infrastruktūru (piemēram, pārbūvēt satiksmes infrastruktūru) bez komercdarbības atbalsta, šādam 5.1.1.1. pasākuma trešās atlases kārtas kombinētajam projektam izmaksu un ieguvumu analīzi būtu vēlams veikt par visām projekta darbībām kopumā, bet obligāta tā ir tikai daļā, kurā plānots piemērot regulas Nr. 651/2014 56. pantā paredzēto atbalstu. Projekta iesniedzējs var izvēlēties veikt izmaksu un ieguvumu analīzi arī tādos projektos, kur nav plānots piemērot regulas Nr. 651/2014 56. pantā paredzēto atbalstu un kuros izmaksu un ieguvumu analīzes veikšana nav noteikta kā obligāta. Neatkarīgi no tā, vai izmaksu un ieguvumu analīzes izstrāde projektam ir noteikta kā obligāta vai nav noteikta kā obligāta, izmaksu un ieguvumu analīzes (finanšu un ekonomiskās analīzes) izmaksas, ja izmaksu un ieguvumu analīze ir pievienota projekta iesniegumam, ir iekļaujamas projekta attiecināmajās izmaksās, ņemot vērā, ka projektu iesniedzēji var būt jau uzsākuši projektu iesniegumu sagatavošanu iesniegšanai turpmākajā atlases kārtā un vadās no līdzšinējās atlases kārtās projektiem izvirzītajām prasībām izmaksu un ieguvumu analīzes izstrādei. Lai projektā nodrošinātu ERAF finansējuma, nacionālā līdzfinansējuma un kopējo izmaksu izsekojamību dažādām projekta darbībām, kurām var būt atšķirīgas ERAF finansējuma atbalsta likmes, kā arī būtu iespējams identificēt uz katru no projektā iesaistītajiem partneriem attiecināmo finansējumu, tiks aktualizēts līdzšinējais projekta iesniegumam pievienojamais pielikums "Projekta budžeta kopsavilkuma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tiesiskās skaidrības nodrošināšanai precizē nosacījumus attiecībā uz projekta iesniegumā pieļaujamo maksimālo ERAF finansējuma procentuālo apmēru no projekta iesnieguma attiecināmo izmaksu summas un nacionālā finansējuma pieļaujamo apmēru projektā, ņemot vērā, ka tos ietekmē vai projekta iesniegumā pamatojošās dokumentācijas sagatavošanas izmaksas ir paredzētas segt no </w:t>
      </w:r>
      <w:r w:rsidR="00000000" w:rsidRPr="00000000" w:rsidDel="00000000">
        <w:rPr>
          <w:i w:val="1"/>
          <w:rtl w:val="0"/>
        </w:rPr>
        <w:t xml:space="preserve">de minimis</w:t>
      </w:r>
      <w:r w:rsidR="00000000" w:rsidRPr="00000000" w:rsidDel="00000000">
        <w:rPr>
          <w:rtl w:val="0"/>
        </w:rPr>
        <w:t xml:space="preserve"> atbalsta, atbilstoši regulas Nr. 2023/2831 nosacījumiem, un vai projektā ir plānotas darbības remediācijai un sanācijai, atbilstoši regulas Nr. 651/2014 45. panta nosacījumiem (MK noteikumu Nr. 55 54.5. apakšpunkts). Vienlaikus noteikumu projekts paredz, ka 5.1.1.1. pasākuma trešajā atlases kārtā, ERAF finansējuma apmērs var būt līdz 90 procentiem no projekta iesnieguma attiecināmo izmaksu kopsummas, ja uz projekta iesniedzēju un šī projekta sadarbības partneri, ja tāds projektā paredzēts, (izņemot MK noteikumu Nr. 55  27.1.apakšpunktā minēto sadarbības partneri) ir attiecināms ar MK 2025. gada 20. janvāra rīkojumu Nr. 32 "Par Rīcības plānu Latvijas Austrumu pierobežas ekonomiskajai izaugsmei un drošības stiprināšanai 2025.–2027. gadam" apstiprinātais Rīcības plāns Latvijas Austrumu pierobežas ekonomiskajai izaugsmei un drošības stiprināšanai 2025.–2027. gadam, t.i., visas Latgales plānošanas reģiona pašvaldības un Alūksnes novada pašvaldība, kurai ir robeža ar Krieviju. Attiecīgi,  Latvijas Austrumu pierobežas projektos ERAF finansējuma apmērs līdz 90 procentiem no projekta iesnieguma attiecināmo izmaksu kopsummas pieļaujams darbībām, kam nav piemērojams komercdarbības atbalsts vai darbībām, kam ir piemērojams komercdarbības atbalsts atbilstoši regulas Nr. 651/2014 56. pantam vai atbilstoši Eiropas Komisijas 2011. gada 20. decembra lēmumam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 ūdenssaimniecības un siltumapgādes sabiedriskajiem pakalpojumiem. Šāds 5.1.1.1. pasākuma atbalsta procentuālais apjoms trešajai atlases kārtai izvēlēts, lai nodrošinātu mērķētu atbalstu Latvijas Austrumu pierobežas reģionam, ievērojot EK komentārus Programmas grozījumu Nr. 3 izstrādes un saskaņošanas laikā par atbalsta fokusēšanu Latvijas Austrumu pierobežas reģionos, kā arī ņemot vērā Finanšu ministrijas 2023. gada 19. oktobra izvērtējuma ziņojuma "ES fondu 2014.–2020. gada plānošanas perioda darbības programmas "Izaugsme un nodarbinātība" 3. prioritārā virziena "Mazo un vidējo komersantu konkurētspēja" noslēguma izvērtējums"  rekomendāciju: saturiski līdzīgam atbalstam kā Darbības programmas "Izaugsme un nodarbinātība" 3.3.1. specifiskais atbalsta mērķis "Palielināt privāto investīciju apjomu reģionos, veicot ieguldījumus uzņēmējdarbības attīstībai atbilstoši pašvaldību attīstības programmās noteiktajai teritoriju ekonomiskajai specializācijai un balstoties uz vietējo uzņēmēju vajadzībām" vērtēt augstākas intensitātes atbalsta Latgales reģionam un tā uzņēmējiem piedāvāšanu.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panta 3. punkta a) apakšpunktam jānodrošina, ka līdzfinansējuma likme mērķim "Investīcijas nodarbinātībai un izaugsmei" katras prioritātes līmenī nepārsniedz 85 % mazāk attīstītiem reģioniem.  Minētā prasība ERAF finansējumam tiek nodrošināta 5.1. prioritātes "Reģionu līdzsvarota attīstība" līmenī,  jo atbilstoši Kohēzijas politikas fondu vadības informācijas sistēmā pieejamai informācijai uz 2025. gada 16. septembri minētās prioritātes līmenī nacionālais līdzfinansējums civiltiesiskajos līgumos vai vienošanās par projektu īstenošanu, vai pabeigtajos projektos par 31,6 milj. </w:t>
      </w:r>
      <w:r w:rsidR="00000000" w:rsidRPr="00000000" w:rsidDel="00000000">
        <w:rPr>
          <w:i w:val="1"/>
          <w:rtl w:val="0"/>
        </w:rPr>
        <w:t xml:space="preserve">euro</w:t>
      </w:r>
      <w:r w:rsidR="00000000" w:rsidRPr="00000000" w:rsidDel="00000000">
        <w:rPr>
          <w:rtl w:val="0"/>
        </w:rPr>
        <w:t xml:space="preserve"> pārsniedz minimāli nepieciešamo nacionālā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paredz noteikt, ka projekta iesniegumā neiekļauj un finansējumu nepiešķir satiksmes infrastruktūras (ielu, ceļu) uzturēšanas darbiem un seguma atjaunošanai (piemēram, bedru remontiem), kuriem atbilstoši MK 2014. gada 14. oktobra noteikumu Nr. 633 "Autoceļu un ielu būvnoteikumi" 64.7. apakšpunktam nav nepieciešama būvniecības ieceres dokumentācija. Precizējums noteikuma projektā nemaina regulējumu, kāds tika piemērots 5.1.1.1. pasākuma pirmajā un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paredz attiecināmajās izmaksās iekļaut elektronisko sakaru tīklu aizsardzības izmaksas, nepalielinot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elektronisko sakaru tīklu bojāšanas risks, nodrošinot, ka investīcijas nerada priekšrocības inženiertīklu īpašniekam un atbilst nosacījumiem par komercdarbības atbalsta sniegšanu. Izmaiņas mazina administratīvo slogu projekta iesnieguma sagatavošanā, vērtēšanā, ieviešanā un uzraudzībā, jo būvniecības izmaksu tāmēs nebūs nepieciešamība veikt izmaksu nodalīšanu un atsevišķu uzskaiti par būvniecības izmaksu tāmes pozīciju, piemēram, elektronisko sakaru tīklu aizsardzības izmaksām, aizsardzības bruņu, cauruli. Precizējumu noteikumu projektā var attiecināt un piemērot arī uz 5.1.1.1. pasākuma pirmās un otrās atlases kārtas projektiem, ja projektos būs radušies ietaupījumi un šādas iepriekš norādītās izmaksas būs nepieciešams iekļaut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paredz MK noteikumu Nr. 55 39.1. apakšpunktu izteikt precīzāk attiecībā uz finansējuma saņēmēja (publiskas personas) un sadarbības partnera (publiskas personas) ieguldījumiem citas publiskas personas īpašumā vai valdījumā esošā īpašumā, tajos gadījumos, kad ieguldījumi ir plānoti darbībām, kurām nav piemērojami komercdarbības atbalsta nosacījumi. Publiskas personas ieguldījumi citas publiskas personu īpašumā attiecas tikai uz tādām publiskajām personām, kas ir minētas Valsts pārvaldes iekārtas likuma 1. pantā (piemēram, neattiecas uz speciālās ekonomiskās zonas pārvaldi). Par projekta ieguldījumiem citas publiskas personas īpašumā vai valdījumā esošā īpašumā ir nepieciešama savstarpēja  vienošanās. Piemēram, projekta iesniedzējs (publiska persona) un valsts (publiska persona), kuras īpašums nodots valdījumā tās iestādei, būdamas abas publiskās personas var savstarpēji vienoties. Par publisko personu vienošanos var tikt uzskatīts, piemēram, publiskas personas saskaņojums pašvaldības izstrādātajam būvprojektam. Precizējums noteikumu projektā nemaina regulējumu, kāds tika piemērots 5.1.1.1. pasākuma pirmajā un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paredz MK noteikumu Nr. 55 40. punktā terminu "zemes īpašums" izteikt kā "nekustamais īpašums" vienotas izpratnes nodrošināšanai, precizējot, ka tiesība veikt ieguldījumus īpašumā 5.1.1.1. pasākuma ietvaros ir attiecināma gan uz ieguldījumiem zemes īpašumā, gan būvju infrastruktūrā. Kā arī paredz nosacījumu, ka, ja projekta ietvaros tiek veikti tādi ieguldījumi, kas uzskatāmi par apgrūtinājumu, apgrūtinājums reģistrējams normatīvo aktu kārtībā Valsts kadastra informācijas sistēmā (piemēram, gadījumos, kad satiksmes infrastruktūra kā inženierbūve atrodas uz  privātpersonas īpašumā esošas zemes,  šāda inženierbūve kā apgrūtinājums reģistrējama Valsts kadastra informācijas sistēmā). Precizējums noteikumu projektā atbilst praksei, kāda tika piemērota 5.1.1.1. pasākuma pirmajā un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paredz svītrot MK noteikumu Nr. 55 76.7. apakšpunktu, ņemot vērā Finanšu ministrijas 2025. gada 17. jūlija vadlīniju Nr. 1.4. "Vadlīnijas Ministru kabineta noteikumu par specifiskā atbalsta mērķa īstenošanu izstrādei Eiropas Savienības fondu 2021.— 2027. gada plānošanas periodā" 29. punktā noteikto un to, ka MK noteikumi Nr. 55 neparedz, ka finansējuma saņēmējs atlases kārtībā projektu sadarbības partneriem vai komersantiem, kas gūst labumu no projekta ietvaros attīstītās infrastruktūras, sniedz finansiālu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paredz MK noteikumu  Nr. 55 76.2. un 76.3.2. apakšpunktā minētās prasības par HP prasību ievērošanu noteikt kā izvēles iespēju, ņemot vērā projektu specifiku, ka projektos darbības var tikt īstenotas arī tādā infrastruktūrā, kur objektīvu iemeslu dēļ nav nepieciešams vai nav iespējams nodrošināt, kādu no HP ietvaros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2025. gada 31. jūlija vadlīniju Nr. 3.1. "Eiropas Reģionālās attīstības fonda, Eiropas Sociālā fonda plus, Kohēzijas fonda un Taisnīgas pārkārtošanās fonda projektu iesniegumu atlases metodika 2021.–2027.gadam" 5. pielikuma 11. kritērijā noteikto, kur administratīvā sloga mazināšanas nolūkos tika atvieglotas prasības, tika pieļauts, ka projektos, kuriem nav ietekmes uz HP VINPI (piemēram, ja projektā plānota tikai ceļa posma izbūve bez ietvēm, pieturvietām, gājēju pārējām) nav jāpiemēro specifiskās HP darbības un nav jāparedz HP VINPI rādītāji. Attiecīgi šajos gadījumos nav nepieciešama arī datu uzkrāšana un MK noteikumu Nr. 55 76.4. apakšpunktā paredzētā informācijas sniegšana CFLA. Nosacījums piemērojams 5.1.1.1. pasākuma pirmās atlases kārtas projektiem (IPIA) un trešās atlases kārtas projektiem (APIA). Nosacījums nav piemērojams otrās atlases kārtas (APIA) projektiem, jo atlases ietvaros tika noteiktas minimālās prasības attiecībā uz HP VINPI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kur attiecināmajās izmaksās iekļautām komponentēm nav iespējams piemērot energoefektivitātes nosacījumus,  nav nepieciešama datu uzkrāšana par HP "Energoefektivitāte pirmajā vietā" un MK noteikumu Nr. 55 76.4. apakšpunktā paredzētā informācijas sniegšana CFLA. Nosacījums piemērojams 5.1.1.1. pasākuma visu trīs atlašu kārtu projektiem, t.sk. pirmās atlases kārtas projektiem (IPIA) un otrās atlases kārtas (APIA) projektiem, jo atlases ietvaros netika noteiktas minimālās prasības attiecībā uz HP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izmaiņas MK noteikumu Nr. 55 76.5. apakšpunktā, administratīvā sloga mazināšanas nolūkā, samazināt ikgadējā enerģijas patēriņa ziņošanas biežumu no trīs ziņošanas reizēm un vienu ziņošanas reizi, ievērojot Energoefektivitātes likuma 15. panta ceturtajā daļā norādīto izņēmumu, kas ļauj civiltiesiskajā līgumā vai vienošanās par projekta īstenošanu noteikt citu ziņošanas periodu. MK noteikumu Nr. 55 76.5. apakšpunktā veiktās izmaiņas paredz, ka, ja ir īstenots projekts ar ieguldījumiem apgaismojuma sistēmas renovācijā, ēku pārbūvē vai atjaunošanā,  finansējuma saņēmējam ir jāsniedz informācija sadarbības iestādei par enerģijas patēriņu (megavatstundas) kalendāra gadā pēc projekta īstenošanas (piemēram, ja projekts tiek pabeigts 2025. gadā, tad finansējuma saņēmējs 2027. gadā sadarbības iestādē sniedz informāciju par 2026. gada enerģijas patēriņu projekta ietvaros attīstītajā infrastruktūrā). Nosacījums piemērojams 5.1.1.1. pasākuma visu trīs atlašu kārtu projektiem, t.sk. pirmās atlases kārtas projektiem (IPIA) un otrās atlases kārtas (APIA) projektiem, jo nosacījums neietekmē projektu iesniegumu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paredz precizēt MK noteikumu Nr. 55 62.3., 62.4. un 62.5. apakšpunktu, ņemot vērā, ka regulas Nr. 651/2014 1. panta 4. punkta, 2. panta 18. punkta un 4. panta 1. punktā paredzētās robežvērtības, kas attiecas uz uzņēmumu, ir jāvērtē un jāpiemēro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paredz noteikt izņēmumu, ka 5.1.1.1. pasākuma rezultāta rādītāju vērtības (darba algu fonda pieaugums, nefinanšu investīcijas, komersanti) ir attiecināmas arī tad, ja tās ir radījusi kapitālsabiedrība, kas dibināta, lai ilgtermiņā attīstītu militāro industriju (nozari) Latvijā un kuras visu kapitāldaļu turētāja ir Aizsardzības ministrija. Šāda kapitālsabiedrība ir SIA "Valsts aizsardzības korporācija". Rādītāju vērtības ir attiecināmas arī gadījumos, ja tās ir radījis kopuzņēmums, kur iepriekš minētā kapitālsabiedrība ieguvusi līdzdalību vai izšķirošu ietekmi. Šajā gadījumā Valsts kases izsniegtie aizdevumi SIA "Valsts aizsardzības korporācija", balstoties uz tirgus likmi, ir ieskaitāmi nefinanšu investīciju rezultāta rādītājā. Nosacījums ir piemērojams uz visām 5.1.1.1. pasākuma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Latvijas Tirdzniecības un rūpniecības kameras izteiktajai iniciatīvai, paredz precizēt MK noteikumu Nr. 55 34.3. apakšpunktu un 36.4. apakšpunktu, paplašinot atbalstāmo tautsaimniecības nozaru loku, kurās 5.1.1.1. pasākuma ietvaros ir atbalstāma uzņēmējdarbības mērķiem paredzēto ēku un ar tām saistītās infrastruktūras attīstīšana. Noteikumu projekts nosaka, ka turpmāk ar uzņēmējdarbības mērķiem paredzēto ēku un ar tām saistītās infrastruktūras attīstīšana 5.1.1.1. pasākuma ietvaros ir atbalstāma arī šādā tautsaimniecības nozarē – Izklaides un atpūtas darbība (NACE 2.1. red. S sadaļas 93.2 klase), kura līdz šim bija kā viena no izslēgtajām tautsaimniecības nozarēm un kurā netika atbalstīta uzņēmējdarbības mērķiem paredzēto ēku un ar tām saistītās infrastruktūras attīstīšana 5.1.1.1. pasākumā. Latvijas Tirdzniecības un rūpniecības kamera akcentē, ka šī ir viena no tautsaimniecības nozarēm, kura vairāku gadu garumā ir stagnējusi un Latvijas reģioni nav konkurētspējīgi, salīdzinot ar kaimiņiem Baltijas valstīs. Paplašinot atbalstāmo tautsaimniecības nozaru loku, projektu iesniedzējiem ir lielāka iespēja attīstīt infrastruktūru, kas nepieciešama uzņēmējdarbībai, tādējādi atbalstot uzņēmējus un stimulējot reģionos ekonomisko izaugsmi. Nosacījums ir piemērojams 5.1.1.1. pasākuma trešās atlases kārtas projektiem. Nosacījums nav piemērojams pirmās atlases kārtas (IPIA) un otrās atlases kārtas (APIA) projektiem, lai nodrošinātu Regulas Nr.651/2014 6.panta 2.punktā noteikto stimulējošās ietekmes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atbilstoši Finanšu ministrijas un CFLA izteiktajai iniciatīvai administratīvā sloga mazināšanas ietvaros, paredz svītrot MK noteikumu 66.8. apakšpunktu un turpmāk nepieprasīt projekta iesniedzējam sadarbības iestādē iesniegt vispārējas tautsaimnieciskas nozīmes pakalpojuma pilnvarojuma uzlicēja apliecinājumu par atlīdzības (kompensācijas) maksājumu kontroli un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paredz noteikt, ka, atbilstoši Līguma par Eiropas Savienības darbību 346. panta 1. punkta (b) apakšpunktā noteiktajam, 5.1.1.1. pasākuma trešajā atlases kārtā ERAF finansējums, kas tiek piešķirts projektiem tikai militārajā jomā, nav kvalificējams kā komercdarbības atbalsts, ja ir saņemts Aizsardzības ministrijas atzinums par projekta atbilstību būtiskām Latvijas valsts drošības un aizsardzības interesēm saistībā ar ieroču, munīcijas un militārā aprīkojuma ražošanu vai tirdzniecību. Attiecīgi, ja pašvaldība vai tās izveidota iestāde, speciālās ekonomiskās zonas pārvalde, pašvaldības kapitālsabiedrība, kas veic pašvaldības deleģētos pārvaldes uzdevumus vai publiski privātā kapitālsabiedrība, kurā kapitāla daļas vai balsstiesīgās akcijas pieder vismaz vienai pašvaldībai un kura veic pašvaldības deleģētos pārvaldes uzdevumus kā projekta iesniedzējs sadarbībā ar komersantu kā projekta sadarbības partneri īstenos MK noteikumu Nr.55 48.</w:t>
      </w:r>
      <w:r w:rsidR="00000000" w:rsidRPr="00000000" w:rsidDel="00000000">
        <w:rPr>
          <w:vertAlign w:val="superscript"/>
          <w:rtl w:val="0"/>
        </w:rPr>
        <w:t xml:space="preserve">1</w:t>
      </w:r>
      <w:r w:rsidR="00000000" w:rsidRPr="00000000" w:rsidDel="00000000">
        <w:rPr>
          <w:rtl w:val="0"/>
        </w:rPr>
        <w:t xml:space="preserve"> punktā minēto projektu, komersantam vai projekta iesniedzējam būs jāvēršas Aizsardzības ministrijā ar iesniegumu atzinuma par attiecīgā projekta atbilstību būtiskām drošības interesēm, kas saistītas ar ieroču, munīcijas un militārā aprīkojuma ražošanu vai tirdzniecību, saņemšanai. Lai saņemtu atzinumu, komersantam saskaņā ar MK noteikumu Nr. 55 33.</w:t>
      </w:r>
      <w:r w:rsidR="00000000" w:rsidRPr="00000000" w:rsidDel="00000000">
        <w:rPr>
          <w:vertAlign w:val="superscript"/>
          <w:rtl w:val="0"/>
        </w:rPr>
        <w:t xml:space="preserve">1</w:t>
      </w:r>
      <w:r w:rsidR="00000000" w:rsidRPr="00000000" w:rsidDel="00000000">
        <w:rPr>
          <w:rtl w:val="0"/>
        </w:rPr>
        <w:t xml:space="preserve"> punktu jāvēršas Aizsardzības ministrijā ar iesniegumu, kuram pievienots apraksts par militārā projekta atbilstību drošības interesēm, kas saistītas ar ieroču, munīcijas un militārā aprīkojuma ražošanu vai tirdzniecību (turpmāk – apraksts). Aprakstā tiek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militārā projekta būtību (piemēram,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saikne ar Latvijas Nacionālo bruņoto spēku ilgtermiņa attīstību (ja attiecināms, norādot informāciju, balstoties uz, piemēram, Nacionālo bruņoto spēku ilgtermiņa attīstības plāna 2025 –2036 kopsavilkumu, Aizsardzības industrijas un inovāciju atbalsta stratēģiju 2025 – 2036,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projekta finansētāji, investori (norādīt gan tos, ar kuriem jau ir uzņemtas saistības (</w:t>
      </w:r>
      <w:r w:rsidR="00000000" w:rsidRPr="00000000" w:rsidDel="00000000">
        <w:rPr>
          <w:i w:val="1"/>
          <w:rtl w:val="0"/>
        </w:rPr>
        <w:t xml:space="preserve">hard commitment</w:t>
      </w:r>
      <w:r w:rsidR="00000000" w:rsidRPr="00000000" w:rsidDel="00000000">
        <w:rPr>
          <w:rtl w:val="0"/>
        </w:rPr>
        <w:t xml:space="preserve">), gan tos, kuri ir pauduši atbalstu iesaistīties pie noteiktiem apstākļiem (</w:t>
      </w:r>
      <w:r w:rsidR="00000000" w:rsidRPr="00000000" w:rsidDel="00000000">
        <w:rPr>
          <w:i w:val="1"/>
          <w:rtl w:val="0"/>
        </w:rPr>
        <w:t xml:space="preserve">soft commitment</w:t>
      </w:r>
      <w:r w:rsidR="00000000" w:rsidRPr="00000000" w:rsidDel="00000000">
        <w:rPr>
          <w:rtl w:val="0"/>
        </w:rPr>
        <w:t xml:space="preserve">) vai citi iesaistītie partneri – gan tie, ar kuriem jau ir līgumiskas vienošanās, gan tie, ar kuriem vēl notiek sarunas, gan tie,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 vai tirdzniecību. Aizsardzības ministrija pēc atzinuma izsniegšanas turpmākā 5.1.1.1. pasākuma trešās atlases kārtas projekta izvērtēšanā nepiedalās. Vienlaikus  CFLA var lūgt Aizsardzības ministrijai sniegt papildu informāciju saskaņā ar MK noteikumu Nr. 55 33.</w:t>
      </w:r>
      <w:r w:rsidR="00000000" w:rsidRPr="00000000" w:rsidDel="00000000">
        <w:rPr>
          <w:vertAlign w:val="superscript"/>
          <w:rtl w:val="0"/>
        </w:rPr>
        <w:t xml:space="preserve">1</w:t>
      </w:r>
      <w:r w:rsidR="00000000" w:rsidRPr="00000000" w:rsidDel="00000000">
        <w:rPr>
          <w:rtl w:val="0"/>
        </w:rPr>
        <w:t xml:space="preserve"> punktu par projekta militāro specifiku, ja tas nepieciešams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militāriem projektiem, kam piešķirts ERAF finansējums ar MK noteikumu Nr.55 48.</w:t>
      </w:r>
      <w:r w:rsidR="00000000" w:rsidRPr="00000000" w:rsidDel="00000000">
        <w:rPr>
          <w:vertAlign w:val="superscript"/>
          <w:rtl w:val="0"/>
        </w:rPr>
        <w:t xml:space="preserve">1</w:t>
      </w:r>
      <w:r w:rsidR="00000000" w:rsidRPr="00000000" w:rsidDel="00000000">
        <w:rPr>
          <w:rtl w:val="0"/>
        </w:rPr>
        <w:t xml:space="preserve"> punktu, piešķirtais finansējums nekļūst par tādu atbalstu, kas  būtu kvalificējams kā komercdarbības atbalsts, noteikumu projektā ir paredzēta militāriem projektiem darbības vai izmaksu nošķiršana, kas tiek veikta visā amortizācijas periodā atbilstoši normatīvajiem aktiem grāmatvedības jomā, lai izskaustu situācijas, kurās projekts īstenots ar nodomu nepamatoti gūt labumu no komercdarbības atbalsta vai tieši pretēji, izvairīties no  komercdarbības atbalsta regulējuma t.i., tiek novērsts īstermiņa peļņas gūšanas stimuls, kā arī, lai censtos novērst to, ka komersants sākt ražot ne tikai preces un tehnoloģijas militārajā jomā, bet arī divejāda lietojuma preces un tehnoloģijas, vai tikai civilās aizsardzības mērķiem paredzētas preces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tikai tādos gadījumos, kad pašvaldība kā projekta iesniedzējs pati nav komercdarbības atbalsta saņēmējs (šajā gadījumā ar  regulas Nr. 651/2014  56. pantu), trešās atlases kārtas ietvaros var īstenot projektu, kas atbilst Latvijas valsts drošības un aizsardzības interesēm saistībā ar ieroču, munīcijas un militārā aprīkojuma ražošanu vai tirdzniecību un kas nav kvalificējams kā komercdarbības atbalsts komersantam – projekta sadarbības partnerim –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militāru investīciju projektu īstenošanu, kam piešķir ERAF finansējumu saskaņā ar MK noteikumu Nr. 55 48.</w:t>
      </w:r>
      <w:r w:rsidR="00000000" w:rsidRPr="00000000" w:rsidDel="00000000">
        <w:rPr>
          <w:vertAlign w:val="superscript"/>
          <w:rtl w:val="0"/>
        </w:rPr>
        <w:t xml:space="preserve">1</w:t>
      </w:r>
      <w:r w:rsidR="00000000" w:rsidRPr="00000000" w:rsidDel="00000000">
        <w:rPr>
          <w:rtl w:val="0"/>
        </w:rPr>
        <w:t xml:space="preserve"> punktu, attiecas MK noteikumu Nr. 55 33.3. apakšpunkts, 33.</w:t>
      </w:r>
      <w:r w:rsidR="00000000" w:rsidRPr="00000000" w:rsidDel="00000000">
        <w:rPr>
          <w:vertAlign w:val="superscript"/>
          <w:rtl w:val="0"/>
        </w:rPr>
        <w:t xml:space="preserve">1</w:t>
      </w:r>
      <w:r w:rsidR="00000000" w:rsidRPr="00000000" w:rsidDel="00000000">
        <w:rPr>
          <w:rtl w:val="0"/>
        </w:rPr>
        <w:t xml:space="preserve"> punkts, 36.1., 36.2.2., 36.3.1., 36.3.2., 36.3.3., 36.3.4., 36.3.5. 36.4., 36.5., 36.5.</w:t>
      </w:r>
      <w:r w:rsidR="00000000" w:rsidRPr="00000000" w:rsidDel="00000000">
        <w:rPr>
          <w:vertAlign w:val="superscript"/>
          <w:rtl w:val="0"/>
        </w:rPr>
        <w:t xml:space="preserve">1</w:t>
      </w:r>
      <w:r w:rsidR="00000000" w:rsidRPr="00000000" w:rsidDel="00000000">
        <w:rPr>
          <w:rtl w:val="0"/>
        </w:rPr>
        <w:t xml:space="preserve">, 36.7., 36.8., 36.9. apakšpunkts, 37. punkts, 39.2.2., 42.5. apakšpunkts, 48., 48.</w:t>
      </w:r>
      <w:r w:rsidR="00000000" w:rsidRPr="00000000" w:rsidDel="00000000">
        <w:rPr>
          <w:vertAlign w:val="superscript"/>
          <w:rtl w:val="0"/>
        </w:rPr>
        <w:t xml:space="preserve">1</w:t>
      </w:r>
      <w:r w:rsidR="00000000" w:rsidRPr="00000000" w:rsidDel="00000000">
        <w:rPr>
          <w:rtl w:val="0"/>
        </w:rPr>
        <w:t xml:space="preserve">, 48.</w:t>
      </w:r>
      <w:r w:rsidR="00000000" w:rsidRPr="00000000" w:rsidDel="00000000">
        <w:rPr>
          <w:vertAlign w:val="superscript"/>
          <w:rtl w:val="0"/>
        </w:rPr>
        <w:t xml:space="preserve">2</w:t>
      </w:r>
      <w:r w:rsidR="00000000" w:rsidRPr="00000000" w:rsidDel="00000000">
        <w:rPr>
          <w:rtl w:val="0"/>
        </w:rPr>
        <w:t xml:space="preserve">,  48.</w:t>
      </w:r>
      <w:r w:rsidR="00000000" w:rsidRPr="00000000" w:rsidDel="00000000">
        <w:rPr>
          <w:vertAlign w:val="superscript"/>
          <w:rtl w:val="0"/>
        </w:rPr>
        <w:t xml:space="preserve">3</w:t>
      </w:r>
      <w:r w:rsidR="00000000" w:rsidRPr="00000000" w:rsidDel="00000000">
        <w:rPr>
          <w:rtl w:val="0"/>
        </w:rPr>
        <w:t xml:space="preserve">, 48.</w:t>
      </w:r>
      <w:r w:rsidR="00000000" w:rsidRPr="00000000" w:rsidDel="00000000">
        <w:rPr>
          <w:vertAlign w:val="superscript"/>
          <w:rtl w:val="0"/>
        </w:rPr>
        <w:t xml:space="preserve">4</w:t>
      </w:r>
      <w:r w:rsidR="00000000" w:rsidRPr="00000000" w:rsidDel="00000000">
        <w:rPr>
          <w:rtl w:val="0"/>
        </w:rPr>
        <w:t xml:space="preserve"> , 48.</w:t>
      </w:r>
      <w:r w:rsidR="00000000" w:rsidRPr="00000000" w:rsidDel="00000000">
        <w:rPr>
          <w:vertAlign w:val="superscript"/>
          <w:rtl w:val="0"/>
        </w:rPr>
        <w:t xml:space="preserve">5</w:t>
      </w:r>
      <w:r w:rsidR="00000000" w:rsidRPr="00000000" w:rsidDel="00000000">
        <w:rPr>
          <w:rtl w:val="0"/>
        </w:rPr>
        <w:t xml:space="preserve"> un 48.</w:t>
      </w:r>
      <w:r w:rsidR="00000000" w:rsidRPr="00000000" w:rsidDel="00000000">
        <w:rPr>
          <w:vertAlign w:val="superscript"/>
          <w:rtl w:val="0"/>
        </w:rPr>
        <w:t xml:space="preserve">6</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pašvaldības kā finansējuma saņēmēja riskus, 5.1.1.1. pasākums pieļauj iespēju militārās jomas projektus īstenot atbilstoši regulas Nr. 651/2014 14. panta nosacījumiem kā komercdarbības atbalsta projektu. Šāda īstenota projekta ietvaros attīstītajā uzņēmējdarbības objektā (piemēram, ēkā, teritorijā) visā tā pamatlīdzekļu amortizācijas periodā (vismaz 10-15 gadi) ir pieļaujams veikt izmaiņas attīstītās infrastruktūras saimnieciskās darbības lietošanas mērķī, tai skaitā, ir pieļaujams paplašināt komersanta ražošanu jaunos virzienos saskaņā ar aktuālo pieprasījumu tirgū, kā arī sākt ražot ne tikai preces un tehnoloģijas militārajā jomā, bet arī divejāda lietojuma preces un tehnoloģijas, vai tikai civilās aizsardzības mērķiem paredzētas preces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5.1.1.1. pasākuma trešajā atlases kārtā pašvaldību kā finansējuma saņēmēju plānotajiem projektiem tiek noteikta būtiska prioritāte pār citiem projektiem – kvalitātes kritērijā Nr.4.3. "Militārā nozare" saņemot papildu koeficientu, ja militārās jomas komersants, kurš projekta ietvaros attīsta infrastruktūru vai gūst labumu no attīstītās infrastruktūras, darbojas militārajā jomā (t.i. drošības un aizsardzības jomā), plānotās investīcijas militārās jomas objektā pārsniedz 50 milj. </w:t>
      </w:r>
      <w:r w:rsidR="00000000" w:rsidRPr="00000000" w:rsidDel="00000000">
        <w:rPr>
          <w:i w:val="1"/>
          <w:rtl w:val="0"/>
        </w:rPr>
        <w:t xml:space="preserve">euro</w:t>
      </w:r>
      <w:r w:rsidR="00000000" w:rsidRPr="00000000" w:rsidDel="00000000">
        <w:rPr>
          <w:rtl w:val="0"/>
        </w:rPr>
        <w:t xml:space="preserve"> un ir saņemts Aizsardzības ministrijas atzinums par projekta rezultātu militāro pielietojumu.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veikti grozījumi MK noteikumos Nr. 55, netiks izmantota iespēja palielināt 5.1.1.1. pasākuma plānoto ERAF finansējumu par 9 200 838 </w:t>
      </w:r>
      <w:r w:rsidR="00000000" w:rsidRPr="00000000" w:rsidDel="00000000">
        <w:rPr>
          <w:i w:val="1"/>
          <w:rtl w:val="0"/>
        </w:rPr>
        <w:t xml:space="preserve">euro</w:t>
      </w:r>
      <w:r w:rsidR="00000000" w:rsidRPr="00000000" w:rsidDel="00000000">
        <w:rPr>
          <w:rtl w:val="0"/>
        </w:rPr>
        <w:t xml:space="preserve">, t.i., to palielinot no 130 037 695 </w:t>
      </w:r>
      <w:r w:rsidR="00000000" w:rsidRPr="00000000" w:rsidDel="00000000">
        <w:rPr>
          <w:i w:val="1"/>
          <w:rtl w:val="0"/>
        </w:rPr>
        <w:t xml:space="preserve">euro</w:t>
      </w:r>
      <w:r w:rsidR="00000000" w:rsidRPr="00000000" w:rsidDel="00000000">
        <w:rPr>
          <w:rtl w:val="0"/>
        </w:rPr>
        <w:t xml:space="preserve"> uz 139 238 533 </w:t>
      </w:r>
      <w:r w:rsidR="00000000" w:rsidRPr="00000000" w:rsidDel="00000000">
        <w:rPr>
          <w:i w:val="1"/>
          <w:rtl w:val="0"/>
        </w:rPr>
        <w:t xml:space="preserve">euro</w:t>
      </w:r>
      <w:r w:rsidR="00000000" w:rsidRPr="00000000" w:rsidDel="00000000">
        <w:rPr>
          <w:rtl w:val="0"/>
        </w:rPr>
        <w:t xml:space="preserve">, un novirzīt to augstas gatavības projektiem, kas veicinātu budžeta izpildei noteikto mērķu sasniegšanu. Vienlaikus neveicot noteikumu projektā iekļautos grozījumus, 5.1.1.1. pasākuma trešās atlases kārtas projektu iesniedzējiem nebūs piemērojamas labvēlīgākas prasības, piemēram, attiecībā uz samazinātām prasībām divu rezultāta rādītāju sasniegšanā, iepriekšējo kārtu neizmantotais ERAF nebūs pieejams APIA (konkursam) plānošanas reģiona ietvaros, bet tiks novirzīts APIA (konkursam) visas Latvijas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5.1.1.1.pasākuma projektu iesniedzēji un sadarbības partneri.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pozitīvu ietekmi uz 5.1.1.1. pasākuma projektu iesniedzējiem un sadarbības partneriem, jo paredz labvēlīgākus nosacījumus projektu iesniegšanai un izmaksu attiecināšanai.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kas sekmē ERAF finansējuma nonākšanu tautsaimniecībā. Ieguvēji ir privātā sektora komersanti, kas nodrošina gan projektēšanas un būvdarbu pakalpojumus, gan arī komersanti kā tiešie vai netiešie labuma guvēji no projektu ietvaros attīstītās uzņēmējdarbībai nepieciešamās publiskās infrastruktūras, piemēram, satiksmes infrastruktūras, nomas ēku infrastruktūras, industriālajiem pieslēgumiem uzņēmējdarbības teritorijām.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3.1.1.8. pasākuma (Kohēzijas fonda finansējums - 3 990 490 </w:t>
      </w:r>
      <w:r w:rsidR="00000000" w:rsidRPr="00000000" w:rsidDel="00000000">
        <w:rPr>
          <w:i w:val="1"/>
          <w:rtl w:val="0"/>
        </w:rPr>
        <w:t xml:space="preserve">euro</w:t>
      </w:r>
      <w:r w:rsidR="00000000" w:rsidRPr="00000000" w:rsidDel="00000000">
        <w:rPr>
          <w:rtl w:val="0"/>
        </w:rPr>
        <w:t xml:space="preserve">),  4.2.1.7. pasākuma (ERAF - 5 000 000</w:t>
      </w:r>
      <w:r w:rsidR="00000000" w:rsidRPr="00000000" w:rsidDel="00000000">
        <w:rPr>
          <w:i w:val="1"/>
          <w:rtl w:val="0"/>
        </w:rPr>
        <w:t xml:space="preserve"> euro</w:t>
      </w:r>
      <w:r w:rsidR="00000000" w:rsidRPr="00000000" w:rsidDel="00000000">
        <w:rPr>
          <w:rtl w:val="0"/>
        </w:rPr>
        <w:t xml:space="preserve">) un 5.1.1.3. pasākuma (ERAF - 210 348 </w:t>
      </w:r>
      <w:r w:rsidR="00000000" w:rsidRPr="00000000" w:rsidDel="00000000">
        <w:rPr>
          <w:i w:val="1"/>
          <w:rtl w:val="0"/>
        </w:rPr>
        <w:t xml:space="preserve">euro</w:t>
      </w:r>
      <w:r w:rsidR="00000000" w:rsidRPr="00000000" w:rsidDel="00000000">
        <w:rPr>
          <w:rtl w:val="0"/>
        </w:rPr>
        <w:t xml:space="preserve">) uz 5.1.1.1. pasākumu nav būtiskas ietekmes uz valsts budžetu vai pašvaldību budžetiem, jo finansējuma pārdale tiek veikta ES kohēzijas politikas programmas 2021.–2027. gadam (turpmāk – Programma) ietvaros, neietekmējot kopējo Programmā plānotā finansējuma apmēru. No pārdalēm iegūtais ERAF finansējums (9 200 838 </w:t>
      </w:r>
      <w:r w:rsidR="00000000" w:rsidRPr="00000000" w:rsidDel="00000000">
        <w:rPr>
          <w:i w:val="1"/>
          <w:rtl w:val="0"/>
        </w:rPr>
        <w:t xml:space="preserve">euro</w:t>
      </w:r>
      <w:r w:rsidR="00000000" w:rsidRPr="00000000" w:rsidDel="00000000">
        <w:rPr>
          <w:rtl w:val="0"/>
        </w:rPr>
        <w:t xml:space="preserve">) 5.1.1.1. pasākuma trešās atlases kārtas projektu īstenošanai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ņemot vērā, ka 3.1.1.8. pasākumā  nacionālais finansējums bija valsts budžeta līdzfinansējums, savukārt šajā noteikumu projektā nacionālais līdzfinansējums ir pašvaldību un privātais finansējums, finansējuma pārdales rezultātā samazināsies nepieciešamība pēc valsts budžeta līdzfinansējuma. Ietekme uz pašvaldību budžetu: finansējuma pārdale tiek veikta no 4.2.1.7. pasākuma un 5.1.1.3. pasākuma, kuros nacionālais līdzfinansējums bija plānots kā pašvaldību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prognozi veiktajiem maksājumiem projektu finansējuma saņēmējiem Kohēzijas politikas ES fondu 2021.-2027. gada plānošanas perioda ietvaros gadu griezumā līdz 2030. gadam (sadarbībā ar CFLA) tiek regulāri sniegta Finanšu ministrijas ES fondu investīciju pārvaldības departamenta ES fondu investīciju finanšu analīzes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noteikumu projektu netiek virzīti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26. marta noteikumos Nr. 199 "Eiropas Savienības kohēzijas politikas programmas 2021.–2027. gadam 3.1.1. specifiskā atbalsta mērķa "Attīstīt ilgtspējīgu, pret klimatu izturīgu, inteliģentu, drošu un vairākveidu TEN-T infrastruktūru" 3.1.1.8. pasākuma "Robežšķērsošanas punktu attīstība" īstenošanas noteikumi" (turpmāk – MK noteikumi Nr. 199), jo 3.1.1.8. pasākuma ietvaros tiek īstenoti trīs projekti, pārdalāmais finansējums nav piesaistīts minētajiem projektiem, bet gan sākotnēji tika plānots kā elastības finansējums. 3.1.1.8. pasākuma ietvaros nav plānotas jaunas projektu iesniegumu atlases. Atbilstoši minētajam Programmas grozījumu Nr. 3 ietvaros veiktajai elastības finansējuma pārskatīšanai daļa 3.1.1.8. pasākuma elastības finansējuma (3 990 490 </w:t>
      </w:r>
      <w:r w:rsidR="00000000" w:rsidRPr="00000000" w:rsidDel="00000000">
        <w:rPr>
          <w:i w:val="1"/>
          <w:rtl w:val="0"/>
        </w:rPr>
        <w:t xml:space="preserve">euro</w:t>
      </w:r>
      <w:r w:rsidR="00000000" w:rsidRPr="00000000" w:rsidDel="00000000">
        <w:rPr>
          <w:rtl w:val="0"/>
        </w:rPr>
        <w:t xml:space="preserve">) tiek novirzīta 5.1.1.1. pasākumam, savukārt atlikusī elastības finansējuma daļa paliek 3.1.1.8. pasākuma ietvaros gadījumā, ja īstenoto projektu ietvaros būs nepieciešams papildus finansējums vai tiks identificētas citas prioritātes finansējuma novirzīšanai. Finanšu ministrija kā atbildīgā iestāde par 3.1.1.8. pasākuma īstenošanu nodrošinās MK noteikumu Nr. 199 grozījumu veikšanu, ja radīsies nepieciešamība precizēt ieviešanas nosacījumus vai veikt izmaiņas 3.1.1.8. pasākuma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MK noteikumi Nr. 292), jo 4.2.1.7. pasākuma ietvaros tiek īstenoti 11 projekti un pārdalāmais finansējums (5 000 000 </w:t>
      </w:r>
      <w:r w:rsidR="00000000" w:rsidRPr="00000000" w:rsidDel="00000000">
        <w:rPr>
          <w:i w:val="1"/>
          <w:rtl w:val="0"/>
        </w:rPr>
        <w:t xml:space="preserve">euro</w:t>
      </w:r>
      <w:r w:rsidR="00000000" w:rsidRPr="00000000" w:rsidDel="00000000">
        <w:rPr>
          <w:rtl w:val="0"/>
        </w:rPr>
        <w:t xml:space="preserve">) nav piesaistīts minētajiem projektiem, jo tas izveidojies pēc Ķekavas novada domes lēmuma pārtraukt projekta 4.2.1.7/1/23/A/010 "Jauna pirmsskolas izglītības iestāde Titurgā, Baložu pilsētā, Ķekavas novadā"  īstenošanu, kā arī 4.2.1.7. pasākuma ietvaros nav plānota jauna projektu iesniegumu atlase. VARAM kā atbildīgā iestāde par 4.2.1.7. pasākuma īstenošanu nodrošinās MK noteikumu Nr. 292 grozījumu veikšanu, ja radīsies nepieciešamība precizēt ieviešanas nosacījumus vai veikt būtiskas izmaiņas 4.2.1.7. pasākuma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(turpmāk – MK noteikumi Nr. 291), jo 5.1.1.3. pasākuma ietvaros tiek īstenoti 48 projekti un pārdalāmais finansējums (210 348 </w:t>
      </w:r>
      <w:r w:rsidR="00000000" w:rsidRPr="00000000" w:rsidDel="00000000">
        <w:rPr>
          <w:i w:val="1"/>
          <w:rtl w:val="0"/>
        </w:rPr>
        <w:t xml:space="preserve">euro</w:t>
      </w:r>
      <w:r w:rsidR="00000000" w:rsidRPr="00000000" w:rsidDel="00000000">
        <w:rPr>
          <w:rtl w:val="0"/>
        </w:rPr>
        <w:t xml:space="preserve">) nav piesaistīts minētajiem projektiem (tas ir neizmantotais finansējuma atlikums), kā arī 5.1.1.3. pasākuma ietvaros nav plānota jauna projektu iesniegumu atlase. VARAM kā atbildīgā iestāde par 5.1.1.3. pasākuma īstenošanu nodrošinās MK noteikumu Nr. 291 grozījumu veikšanu, ja radīsies nepieciešamība precizēt ieviešanas nosacījumus vai veikt būtiskas izmaiņas 5.1.1.3. pasākuma finansējumā.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4. punktu sabiedrības līdzdalība netiek norošināta, jo tiesību aktu projekts būtiski nemaina esošo regulējumu un neparedz ieviest jaunas politiskās iniciatīvas. Noteikumu projekta mērķis ir veikt ES fondu finansējuma pārdali, vienlaikus nosakot 5.1.1.1. pasākuma rezultāta rādītājiem labvēlīgākas prasības attiecībā uz projektā sasniedzamajām rezultāta rādītāju minimālajām vērtībām 5.1.1.1. pasākuma trešajā atlases kārtā, kā arī administratīvā sloga mazināšanas nolūkā tiek mazināti ierobežojumi projektu dokumentācijai un projektos paredzamajām attiecināmajām izmaksām. Noteikumu projekts pastarpināti veicinās ieguldījumu straujāku ienākšanu tautsaimniecībā un n+3 principa izpildi kopumā. Tas būtiski nemaina esošo regulējumu un neparedz ieviest jaunas politiskās iniciatīvas. Ņemot vērā iepriekš minēto, publiskā apspriede par noteikumu projektu netiek veikta.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25-TA-1892</w:t>
    </w:r>
    <w:r>
      <w:br/>
    </w:r>
    <w:r w:rsidR="00000000" w:rsidRPr="00000000" w:rsidDel="00000000">
      <w:rPr>
        <w:rtl w:val="0"/>
      </w:rPr>
      <w:t xml:space="preserve">Izdrukāts 29.07.2026. 23.11 - 5.0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25-TA-1892</w:t>
    </w:r>
    <w:r>
      <w:br/>
    </w:r>
    <w:r w:rsidR="00000000" w:rsidRPr="00000000" w:rsidDel="00000000">
      <w:rPr>
        <w:rtl w:val="0"/>
      </w:rPr>
      <w:t xml:space="preserve">Izdrukāts 29.07.2026. 23.11 - 5.0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anotācija_(ex_ante)_25-TA-1892.docx</dc:title>
</cp:coreProperties>
</file>

<file path=docProps/custom.xml><?xml version="1.0" encoding="utf-8"?>
<Properties xmlns="http://schemas.openxmlformats.org/officeDocument/2006/custom-properties" xmlns:vt="http://schemas.openxmlformats.org/officeDocument/2006/docPropsVTypes"/>
</file>