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2016. gada 7. jūnija noteikumos Nr. 348 "Spiedieniekārtu un to kompleksu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izstrādāts, lai nodrošinātu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prasību pārņemšanu nacionālajos normatīvajos aktos attiecībā uz sprādzienbīstamā vidē lietojamām iekārtām un aizsargsistēmām. Direktīva 2024/2749 paredz īpašus mehānismus iekšējā tirgus ārkārtas situācijas režīma piemērošanai, tostarp iespēju krīzes situācijās atkāpties no pilnām atbilstības novērtēšanas procedūrām attiecībā uz krīzē būtiskām precēm, vienlaikus saglabājot būtisko drošuma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Direktīvu 2024/2749 tiek grozīta arī Eiropas Parlamenta un Padomes 2014. gada 15. maija Direktīva 2014/68/ES par dalībvalstu tiesību aktu saskaņošanu attiecībā uz spiedieniekārtu pieejamību tirgū (turpmāk – Direktīva 2014/68). Pašreizējais spiedieniekārtu un to kompleksu regulējums neparedz īpašu ārkārtas procedūru piemērošanu iekšējā tirgus ārkārtas situācijas gadījumos, tādējādi radot risku kavēt krīzē būtisku preču savlaicīgu pieejamību. Līdz ar to ir nepieciešams papildināt Ministru kabineta 2016. gada 7. jūnija noteikumus Nr. 348 "Spiedieniekārtu un to kompleksu noteikumi" (turpmāk - Noteikumi Nr. 348) ar tiesību normām, kas nodrošina elastīgu, bet kontrolētu regulējumu ārkārtas situācijām.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Nr. 348 ar prasībām, kas izriet no Direktīvas 2024/2749, lai nodrošinātu, ka iekšējā tirgus ārkārtas situācijas režīma gadījumā netiktu kavēta iekārtu un aizsargsistēmu atbilstības novērtēšana, laišana tirgū un tirgus uzraudzība, ja tie atzīti par krīzē būtiskām precēm.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2024/2749 11. panta 2. punkts paredz, ka tajā noteiktās prasības tiek piemērotas no 2026. gada 30. maija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348, ar kuriem ir pārņemtas Direktīvas 2014/68 prasības, nosaka būtiskās drošuma prasības spiedieniekārtām un to kompleksiem, kā arī to atbilstības novērtēšanas, laišanas tirgū un tirgus uzraudzības kārtību. Regulējums paredz atbilstības novērtēšanu, tostarp paziņoto institūciju iesaisti attiecīgajos gadījumos, tehniskās dokumentācijas sagatavošanu, ES atbilstības deklarāciju un CE atbilstības marķējumu.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Spiedieniekārtu un to kompleksu tirgus uzraudzību Latvijā veic Patērētāju tiesību aizsardzības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ir piemērots normālos tirgus apstākļos, tomēr tas neparedz īpašas procedūras gadījumiem, kad Eiropas Savienībā ir aktivizēts iekšējā tirgus ārkārtas situācijas režīms un spiedieniekārtas vai to kompleksi ir atzīti par krīzē būtiskām precēm. Šādos apstākļos pilnu atbilstības novērtēšanas procedūru piemērošana var kavēt kritiski svarīgu iekārtu savlaicīgu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Iekšējā tirgus ārkārtas situācijas režīma laikā var rasties steidzama nepieciešamība nodrošināt spiedieniekārtu un to kompleksu pieejamību enerģētikas, ķīmiskās rūpniecības, siltumapgādes, procesu rūpniecības vai kritiskās infrastruktūras darbības nepārtrauktībai. Spēkā esošais regulējums neparedz mehānismu, kas ļautu īslaicīgi piemērot procedurālas atkāpes, vienlaikus saglabājot būtisko drošuma prasību ievērošanu.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ieviest normas, kas ļauj iekšējā tirgus ārkārtas situācijas režīma laikā piemērot elastīgākas procedūras spiedieniekārtu un to kompleksu atbilstības novērtēšanai, nodrošinot prioritāru atbilstības novērtēšanu un izņēmuma gadījumos pieļaujot ārkārtas atļauju izsniegšanu, ja ir iesniegti pierādījumi, kas apliecina atbilstību būtiskajām drošuma prasībām. Vienlaikus tiek nodrošināts, ka šādas procedūras neparedz atkāpes no būtiskajām drošuma prasībām un netiek pazemināts drošības līmenis. Ar grozījumu projektu tiek noteikta arī prioritāra tirgus uzraudzība spiedieniekārtām un to kompleksiem, kas atzīti par krīzē būtiskām precēm, kā arī nodrošināta iespēja piemērot Eiropas Komisijas pieņemtos īstenošanas aktus par standartiem vai kopējām specifikācijām, ja tādi tiek pieņemti iekšējā tirgus ārkārtas situācijas režīma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iekšējā tirgus ārkārtas situācijas režīma laikā spiedieniekārtas un to kompleksi, kas atzīti par krīzē būtiskām precēm, atbilstības novērtēšana tiek veikta prioritārā kārtībā. Tas nozīmē, ka paziņotajām atbilstības novērtēšanas institūcijām šādu spiedieniekārtu un to kompleksu atbilstības novērtēšanas pieteikumi ir jāizskata pirms citiem pieteikumiem, kas neattiecas uz krīzē būtiskām precēm, un par šādu prioritāru izskatīšanu nedrīkst tikt noteiktas nesamērīgas papildu izmaksas. Noteikumu nodaļā 11.</w:t>
      </w:r>
      <w:r w:rsidR="00000000" w:rsidRPr="00000000" w:rsidDel="00000000">
        <w:rPr>
          <w:vertAlign w:val="superscript"/>
          <w:rtl w:val="0"/>
        </w:rPr>
        <w:t xml:space="preserve">1</w:t>
      </w:r>
      <w:r w:rsidR="00000000" w:rsidRPr="00000000" w:rsidDel="00000000">
        <w:rPr>
          <w:rtl w:val="0"/>
        </w:rPr>
        <w:t xml:space="preserve"> "Spiedieniekārtu un to kompleksu atbilstības novērtēšana, kas atzītas par krīzē būtiskām precēm" noteiktās prasības ir pārņemtas atbilstoši direktīvā noteiktajām prasībām, kas interpretējamas kā “vislabākās pūles” jeb pienākumi pielikt visas saprātīgās pūles, nevis sasniegt konkrētu rezultātu. Attiecīgi paziņotajām institūcijām netiek noteikts absolūts pienākums nodrošināt konkrētu testēšanas apjomu vai kapacitātes pieaugumu, bet gan pienākums savas kompetences un pieejamo resursu ietvaros veikt samērīgus pasākumus, lai nodrošinātu krīzē būtisku spiedieniekārtu un to kompleksu atbilstības novērtēšanas prioritāru izskatīšanu un iespēju robežās palielinātu testēšanas spēju. Praksē šādi pasākumi var ietvert, piemēram, pieteikumu izskatīšanas prioritizāciju un darba organizācijas pielāgošanu, personāla darba laika pārplānošanu vai paplašināšanu, papildu personāla vai ārpakalpojumu piesaisti, sadarbību ar citām paziņotajām institūcijām, kā arī esošo testēšanas resursu efektīvāku izmantošanu. Vienlaikus no paziņotajām institūcijām netiek prasīti nesamērīgi ieguldījumi vai būtiska infrastruktūras paplašināšana, ja tas pārsniedz to rīcībā esošos resursus vai objektīvi nepieciešamo apjomu. Šāda pieeja nodrošina direktīvas prasību pārņemšanu pēc būtības, vienlaikus saglabājot samērīgumu un tiesisko skaidrību attiecībā uz paziņoto institūciju pienākumu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grozījumi paredz iespēju tirgus uzraudzības iestādei izsniegt atļauju laist tirgū spiedieniekārtas un to kompleksus, kas atzīti par krīzē būtiskām precēm, arī gadījumos, kad nav veikta pilna atbilstības novērtēšanas procedūra ar paziņotās institūcijas iesaistīšanos, ja ir iesniegti pierādījumi, kas apliecina attiecīgo spiedieniekārtu un to kompleksu atbilstību noteikumos Nr. 348 noteiktajām būtiskajām drošuma prasībām. Šādos gadījumos ražotājam vai citai iesaistītajai personai ir jāiesniedz tehniskā dokumentācija un citi pierādījumi, kas apliecina atbilstību būtiskajām drošuma prasībām, un tirgus uzraudzības iestāde atļauj spiedieniekārtu un to kompleksu laišanu tirgū, nosakot attiecīgus nosacījumus. Kā arī Direktīvas 2024/2749 prasība, ka ražotājs ir atbildīgs par tirgus uzraudzības iestādes noteikto atbilstības novērtēšanas procedūru izpildi, pēc būtības noteikumu projektā ir ietverta sistēmiski, jo tirgus uzraudzības iestādei ir tiesības atļaujā noteikt konkrētas procedūras, nosacījumus un prasības, savukārt ražotājam ir pienākums tās izpildīt. Tādējādi ražotāja atbildība par atļaujā noteikto procedūru ievērošanu izriet no ārkārtas atļaujas tiesiskā rakstura un vispārējiem atbilstības nodrošināšanas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396.</w:t>
      </w:r>
      <w:r w:rsidR="00000000" w:rsidRPr="00000000" w:rsidDel="00000000">
        <w:rPr>
          <w:vertAlign w:val="superscript"/>
          <w:rtl w:val="0"/>
        </w:rPr>
        <w:t xml:space="preserve">5</w:t>
      </w:r>
      <w:r w:rsidR="00000000" w:rsidRPr="00000000" w:rsidDel="00000000">
        <w:rPr>
          <w:rtl w:val="0"/>
        </w:rPr>
        <w:t xml:space="preserve"> punkts paredz tirgus uzraudzības iestādes tiesības atzīt citas Eiropas Savienības dalībvalsts kompetentās iestādes izsniegtu atļauju un tās derīgumu vēl pirms Eiropas Komisija ir pieņēmusi attiecīgo īstenošanas aktu. Šāds regulējums nodrošina elastīgu un operatīvu rīcību iekšējā tirgus ārkārtas situācijas režīma laikā, ļaujot izvairīties no kavējumiem krīzē būtisku preču pieejamībā. Minētā norma balstās uz dalībvalstu savstarpējas uzticēšanās principu un veicina vienotu pieeju krīzes pārvaldībā, vienlaikus nepieļaujot situāciju, kurā identiskas vai līdzvērtīgas spiedieniekārtas vai to kompleksi vienā dalībvalstī ir atļauti, bet citā – nepamatoti ierobežoti. Lēmumu par atļaujas atzīšanu pieņem tirgus uzraudzības iestāde, izvērtējot konkrētā gadījuma apstākļus un pieņemot pamatotu lēmumu. Citas dalībvalsts izsniegtas atļaujas atzīšanu var ierosināt ekonomikas dalībnieks vai tā var tikt veikta pēc tirgus uzraudzības iestādes iniciatīvas, pamatojoties uz tās rīcībā esošo informāciju vai sadarbību ar citu dalībvalstu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396.</w:t>
      </w:r>
      <w:r w:rsidR="00000000" w:rsidRPr="00000000" w:rsidDel="00000000">
        <w:rPr>
          <w:vertAlign w:val="superscript"/>
          <w:rtl w:val="0"/>
        </w:rPr>
        <w:t xml:space="preserve">11 </w:t>
      </w:r>
      <w:r w:rsidR="00000000" w:rsidRPr="00000000" w:rsidDel="00000000">
        <w:rPr>
          <w:rtl w:val="0"/>
        </w:rPr>
        <w:t xml:space="preserve">punkts paredz, ka tirgus uzraudzības iestāde arī attiecībā uz spiedieniekārtām un to kompleksiem, kas laisti tirgū ar ārkārtas atļauju, ir tiesīga piemērot visus normatīvajos aktos paredzētos korektīvos un ierobežojošos pasākumus. Minētais punkts nepārņem un nedublē tirgus uzraudzības iestādes vispārējās funkcijas, kas jau noteiktas likumā "Par atbilstības novērtēšanu", bet gan precizē šo funkciju piemērošanu īpašā situācijā, proti, attiecībā uz spiedieniekārtām un to kompleksiem, kuri laisti tirgū saskaņā ar ārkārtas kārtībā izsniegtu atļauju. Direktīvas 2024/2749 prasība paredz, ka arī šādos gadījumos dalībvalstu tirgus uzraudzības iestādes saglabā tiesības veikt visas korektīvās un ierobežojošās darbības, tādējādi novēršot iespējamu interpretāciju, ka ārkārtas atļauja ierobežo vai izslēdz tirgus uzraudzības pasākumu piemērošanu. Attiecīgi noteikumu projektā šī norma ir iekļauta, lai skaidri nostiprinātu, ka uz spiedieniekārtām un to kompleksiem, kas laisti tirgū ar atkāpi, pilnā apmērā attiecas tirgus uzraudzības regulējums, nodrošinot direktīvas prasību korektu pārņemšanu un tiesisko skaidrību attiecībā uz tirgus uzraudzības iestādes pilnvarām ārkārtas situācijas režīma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grozījumu projekts nodrošina Direktīvas 2024/2749 prasību piemērošanu spiedieniekārtu un to kompleksu jomā, vienlaikus saglabājot esošā regulējuma pamatprincipus normālos tirgus apstākļos un nodrošinot samērīgu, laika ziņā ierobežotu un drošībā balstītu risinājumu iekšējā tirgus ārkārtas situācijas režīma gadījumiem.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9. oktobra Regula (ES) 2024/2747, ar ko izveido pasākumu satvaru saistībā ar iekšējā tirgus ārkārtas situāciju un iekšējā tirgus noturību un groza Padomes Regulu (EK) Nr. 2679/98 (Iekšējā tirgus ārkārtas situācijas un noturības akts) (turpmāk - Regula 2024/2747) izveido visaptverošu satvaru, kura mērķis ir nodrošināt iekšējā tirgus normālu darbību krīzes laikā, saglabājot preču un pakalpojumu brīvu kustību, kā arī personu brīvu pārvietošanos, kā arī nodrošināt krīzē būtisku un kritiski svarīgu preču un pakalpojumu pieejamību iedzīvotājiem, uzņēmumiem un publiskām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2024/2747 nosaka, ka krīzes laikā īstenojamajiem pasākumiem jābūt saskaņotiem, pārredzamiem, efektīviem, samērīgiem un savlaicīgiem, lai novērstu, ierobežotu vai mazinātu krīzes negatīvo ietekmi uz iekšējā tirgus darbību. Tā izveido vairāklīmeņu mehānismu, kas sastāv no 3 režīmiem: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plānošanas režīmu (zaļais režīms), kurā ES dalībvalstīm būs nepieciešams veikt agrīnās brīdināšanas paziņojumus, kuru mērķis ir informēt citas ES dalībvalstis un Eiropas Komisiju par tādiem incidentiem, kas izraisa vai varētu izraisīt ārkārtas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modrības režīmu (dzeltenais režīms), kuru varēs ieviest, lai novērstu potenciālo apdraudējumu, kura dēļ var iestāties ārkārtas situācija. Tā laikā ES dalībvalstu iestādēm būs nepieciešams uzraudzīt kritiski svarīgu preču un pakalpojumu piegāžu ķēdes, kā arī nepieciešamības gadījumā Eiropas Komisija ES dalībvalstu vārdā varēs iepirkt kritiski svarīgas preces vai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ārkārtas režīmu (sarkanais režīms), kuru varēs ieviest gadījumā, ja krīze rada preču vai pakalpojumu brīvas aprites un personu brīvas pārvietošanās šķēršļus. Tā laikā ES dalībvalstīm būs noteikti ierobežojumi pieņemt ar ES iekšējo tirdzniecību saistītus aizliegumus, kā arī nepieciešamības gadījumā Eiropas Komisija ES dalībvalstu vārdā varēs iepirkt krīzē būtiskas preces vai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papildinātu ar Regulas 2024/2747 noteikto satvaru un nodrošinātu tā saskaņotu un efektīvu īstenošanu, tiek grozītas vairākas Eiropas Savienības nozaru direktīvas, kas regulē noteiktu preču izstrādi, izgatavošanu, atbilstības novērtēšanu un laišanu tirgū, tāpēc vienlaicīgi ar šo regulu tika izstrādāta Direktīva 2024/2749, kas paredz ārkārtas procedūras un nodrošina iespēju, ka krīzē būtiskās preces var ātri laist iekšējā tirgū, lai veicinātu minētā tirgus traucējumu novēršanu un mazināšanu. Minētās ārkārtas procedūras būtu jāsāk piemērot tikai pēc iekšējā tirgus ārkārtas situācijas režīma aktivizēšanas un tikai tad, ja konkrēta prece, uz kuru attiecas minētās direktīvas, ir atzīta par krīzē būtisku preci saskaņā ar Regulu (ES) 2024/2747 un Eiropas Komisija ir pieņēmusi īstenošanas aktu, ar kuru aktivizē minētās procedūras saskaņā ar minēto regulu.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Regula 2024/2747 darbojas kā jumta tiesiskais satvars, kas nosaka krīzes vadības sistēmu, režīmus un pasākumus, kas nepieciešami iekšējā tirgus funkcionēšanas nodrošināšanai krīžu laikā. Savukārt Direktīva 2024/2749 darbojas kā tehniskais mehānisms, kas ļauj šos pasākumus praktiski īstenot, nodrošinot paātrinātas, elastīgas un krīzes vajadzībām pielāgotas atbilstības novērtēšanas un tirgus uzraudzības procedūras. Kopā tiek nodrošināts, ka Eiropas Savienība spēj ātri un koordinēti nodrošināt krīzē būtisku preču pieejamību, saglabājot drošuma standartus un iekšējā tirgus integritāti.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Iesaistītās persona – iekārtu un aizsargsistēmu ražotājs, pilnvarotais pārstāvis, importētājs un izplatītājs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uzraudzības iestāde - EK informēšana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Iekšējā tirgus ārkārtas situācijas režīma ieviešana, lai krīzes situācijās nodrošinātu ātrāku krīzē būtisku preču nonākšanu tirgū, radīs īslaicīgu un mērķtiecīgu administratīvo slogu gan uzņēmējiem, gan valsts iestādēm, jo būs nepieciešams pielāgot darbības mehānismus ārkārtas situāciju gadījumiem. Iekšējā tirgus ārkārtas situācijas režīma aktivizācijas gadījumā, ja spiedieniekārtas un to kompleksi ir atzītas par krīzē būtiskām precēm, tām nebūs nepieciešams veikt atbilstības novērtēšanas procedūras, kas paredz paziņotās institūcijas iesaistīšanos, piemērot CE atbilstības marķējumu, kā arī pievienot informāciju, kas parasti norādāma saskaņā ar Noteikumu Nr. 348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tirgus uzraudzības iestāde būs tiesīga pēc iesaistītās personas pieprasījuma izsniegt atļauju, ar kuru tirgū var laist spiedieniekārtas un to kompleksus, kurām nav veiktas šo noteikumu atbilstības novērtēšanas procedūras, ja ir apliecināta atbilstība šo noteikumu noteiktajām būtiskajām drošuma un veselības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atbilstības izmaksas var rasties iesaistītajai personai, nodrošinot, ka spiedieniekārtas un to kompleksi, kuriem piemērota atkāpe, tiek pievienots uzraksts “krīzē būtiska prece” valsts valodā.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Iesaistītās persona – iekārtu un aizsargsistēmu ražotājs, pilnvarotais pārstāvis, importētājs un izplatītājs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CSP dati par speciālistu atalgojumu apstrādes rūpniecībā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Dokumentācijas pārbaude, apkopošana, iesnieguma noformēšana un nosūtīšana/saziņa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Iekšējā tirgus ārkārtas situācijas režīma ietvaros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Iekšējā tirgus ārkārtas situācijas režīma ietvaros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Administratīvo izmaksu aprēķins veikts, pieņemot vienu subjektu un vienu gadījumu, jo iekšējā tirgus ārkārtas situācijas režīma aktivizēšana ir izņēmuma un īslaicīgs mehānisms, kas piemērojams tikai atsevišķās krīzes situācijās, savukārt konkrētu mašīnu atzīšana par krīzē būtiskām precēm un attiecīgas atļaujas pieprasīšana paredzama individuālos, gadījuma rakstura gadījumos.
3.punkta 396.4 apakšpunkts:
Pieteikuma par atļaujas saņemšanu sagatavošana, t.sk. tehniskās dokumentācijas apkopošana un iesnieguma noformēšana: Dokumentācijas pārbaude - 1,0–1,5h; Apkopošana - 0,5–1,0h; Iesnieguma noformēšana - 0,5h; Nosūtīšana/saziņa -  0,25–0,5h.</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Tirgus uzraudzības iestāde - EK informēšana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16,50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CSP publicētie dati par vidējo bruto darba samaksu valsts pārvaldē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Tirgus uzraudzības iestādes darbības, lai informētu EK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Iekšējā tirgus ārkārtas situācijas režīma ietvaros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Iekšējā tirgus ārkārtas situācijas režīma ietvaros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16,50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Administratīvo izmaksu aprēķins veikts, pieņemot vienu subjektu un vienu gadījumu, jo iekšējā tirgus ārkārtas situācijas režīma aktivizēšana ir izņēmuma un īslaicīgs mehānisms, kas piemērojams tikai atsevišķās krīzes situācijās, savukārt konkrētu mašīnu atzīšana par krīzē būtiskām precēm un attiecīgas atļaujas pieprasīšana paredzama individuālos, gadījuma rakstura gadījumos.
3.punkta 396.6 apakšpunkts:
Paziņojuma sagatavošana un nosūtīšana - 1h</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76,50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607"/>
        <w:gridCol w:w="1607"/>
        <w:gridCol w:w="1607"/>
        <w:gridCol w:w="1607"/>
        <w:gridCol w:w="1607"/>
        <w:gridCol w:w="1607"/>
        <w:tblGridChange w:id="0">
          <w:tblGrid>
            <w:gridCol w:w="1607"/>
            <w:gridCol w:w="1607"/>
            <w:gridCol w:w="1607"/>
            <w:gridCol w:w="1607"/>
            <w:gridCol w:w="1607"/>
            <w:gridCol w:w="160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ietekmē?</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Izmaksas par vienību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Vienību skaits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Atbilstības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Juridiskās personas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(juridiskās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Iesaistītās persona – iekārtu un aizsargsistēmu ražotājs, pilnvarotais pārstāvis, importētājs un izplatītājs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Specifiskā marķējuma "krīzē būtiska prece" nodrošināšana uz iekārtas un aizsargsistēmām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Iekšējā tirgus ārkārtas situācijas režīma ietvaros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Administratīvo izmaksu aprēķins veikts, pieņemot vienu subjektu un vienu gadījumu, jo iekšējā tirgus ārkārtas situācijas režīma aktivizēšana ir izņēmuma un īslaicīgs mehānisms, kas piemērojams tikai atsevišķās krīzes situācijās, savukārt konkrētu mašīnu atzīšana par krīzē būtiskām precēm un attiecīgas atļaujas pieprasīšana paredzama individuālos, gadījuma rakstura gadījumos.
3.punkta 396.7 apakšpunkts:
Specifiskā marķējuma "krīzē būtiska prece" nodrošināšana uz iekārtas un aizsargsistēmām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Tirgus uzraudzības iestāde - EK informēšana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4"/>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32024L2749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2024.gada 9.oktobra Direktīva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2024/2749 izstrādāta, lai krīzes gadījumā pārvarētu iekšējā tirgus darbības traucējumu iespējamās sekas un nodrošinātu, ka iekšējā tirgus ārkārtas situācijas režīma laikā saskaņotas krīzē būtiskas preces var ātri tikt laistas tirgū. Direktīva 2024/2749 paredz prasību atbilstības novērtēšanas institūcijām piešķirt prioritāti šādu preču atbilstības novērtēšanas pieteikumiem salīdzinājumā ar jebkuriem citiem iesniegtajiem pieteikumiem attiecībā uz produktiem, kas nav atzīti par krīzē būtiskām precēm.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2024.gada 9.oktobra Direktīva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otrā daļa (43.b) 1. - 4.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Pārņemtas tikai tās prasības, kas attiecas uz Latvijas kā dalībvalsts jurisdikciju, prasības, kas attiecas uz Eiropas Komisiju netiek pārņemtas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1. - 2.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396.</w:t>
            </w:r>
            <w:r w:rsidR="00000000" w:rsidRPr="00000000" w:rsidDel="00000000">
              <w:rPr>
                <w:sz w:val="24"/>
                <w:vertAlign w:val="superscript"/>
                <w:rtl w:val="0"/>
              </w:rPr>
              <w:t xml:space="preserve">4</w:t>
            </w:r>
            <w:r w:rsidR="00000000" w:rsidRPr="00000000" w:rsidDel="00000000">
              <w:rPr>
                <w:sz w:val="24"/>
                <w:rtl w:val="0"/>
              </w:rPr>
              <w:t xml:space="preserve"> un 396.</w:t>
            </w:r>
            <w:r w:rsidR="00000000" w:rsidRPr="00000000" w:rsidDel="00000000">
              <w:rPr>
                <w:sz w:val="24"/>
                <w:vertAlign w:val="superscript"/>
                <w:rtl w:val="0"/>
              </w:rPr>
              <w:t xml:space="preserve">7</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Pārņemtas tikai tās prasības, kas attiecas uz Latvijas kā dalībvalsts jurisdikciju, prasības, kas attiecas uz Eiropas Komisiju netiek pārņemtas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396.</w:t>
            </w:r>
            <w:r w:rsidR="00000000" w:rsidRPr="00000000" w:rsidDel="00000000">
              <w:rPr>
                <w:sz w:val="24"/>
                <w:vertAlign w:val="superscript"/>
                <w:rtl w:val="0"/>
              </w:rPr>
              <w:t xml:space="preserve">5</w:t>
            </w:r>
            <w:r w:rsidR="00000000" w:rsidRPr="00000000" w:rsidDel="00000000">
              <w:rPr>
                <w:sz w:val="24"/>
                <w:rtl w:val="0"/>
              </w:rPr>
              <w:t xml:space="preserve"> un 396.</w:t>
            </w:r>
            <w:r w:rsidR="00000000" w:rsidRPr="00000000" w:rsidDel="00000000">
              <w:rPr>
                <w:sz w:val="24"/>
                <w:vertAlign w:val="superscript"/>
                <w:rtl w:val="0"/>
              </w:rPr>
              <w:t xml:space="preserve">6</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Pārņemtas tikai tās prasības, kas attiecas uz Latvijas kā dalībvalsts jurisdikciju, prasības, kas attiecas uz Eiropas Komisiju netiek pārņemtas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396.</w:t>
            </w:r>
            <w:r w:rsidR="00000000" w:rsidRPr="00000000" w:rsidDel="00000000">
              <w:rPr>
                <w:sz w:val="24"/>
                <w:vertAlign w:val="superscript"/>
                <w:rtl w:val="0"/>
              </w:rPr>
              <w:t xml:space="preserve">8 </w:t>
            </w:r>
            <w:r w:rsidR="00000000" w:rsidRPr="00000000" w:rsidDel="00000000">
              <w:rPr>
                <w:sz w:val="24"/>
                <w:rtl w:val="0"/>
              </w:rPr>
              <w:t xml:space="preserve">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396.</w:t>
            </w:r>
            <w:r w:rsidR="00000000" w:rsidRPr="00000000" w:rsidDel="00000000">
              <w:rPr>
                <w:sz w:val="24"/>
                <w:vertAlign w:val="superscript"/>
                <w:rtl w:val="0"/>
              </w:rPr>
              <w:t xml:space="preserve">9</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396.</w:t>
            </w:r>
            <w:r w:rsidR="00000000" w:rsidRPr="00000000" w:rsidDel="00000000">
              <w:rPr>
                <w:sz w:val="24"/>
                <w:vertAlign w:val="superscript"/>
                <w:rtl w:val="0"/>
              </w:rPr>
              <w:t xml:space="preserve">10</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396.</w:t>
            </w:r>
            <w:r w:rsidR="00000000" w:rsidRPr="00000000" w:rsidDel="00000000">
              <w:rPr>
                <w:sz w:val="24"/>
                <w:vertAlign w:val="superscript"/>
                <w:rtl w:val="0"/>
              </w:rPr>
              <w:t xml:space="preserve">11</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punkta 396.</w:t>
            </w:r>
            <w:r w:rsidR="00000000" w:rsidRPr="00000000" w:rsidDel="00000000">
              <w:rPr>
                <w:sz w:val="24"/>
                <w:vertAlign w:val="superscript"/>
                <w:rtl w:val="0"/>
              </w:rPr>
              <w:t xml:space="preserve">12</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ceturtā daļas (43.d)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punkta 396.</w:t>
            </w:r>
            <w:r w:rsidR="00000000" w:rsidRPr="00000000" w:rsidDel="00000000">
              <w:rPr>
                <w:sz w:val="24"/>
                <w:vertAlign w:val="superscript"/>
                <w:rtl w:val="0"/>
              </w:rPr>
              <w:t xml:space="preserve">13</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ceturtā daļas (43.d)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punkta 396.</w:t>
            </w:r>
            <w:r w:rsidR="00000000" w:rsidRPr="00000000" w:rsidDel="00000000">
              <w:rPr>
                <w:sz w:val="24"/>
                <w:vertAlign w:val="superscript"/>
                <w:rtl w:val="0"/>
              </w:rPr>
              <w:t xml:space="preserve">14</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piektā daļas (43.e)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punkta 396.</w:t>
            </w:r>
            <w:r w:rsidR="00000000" w:rsidRPr="00000000" w:rsidDel="00000000">
              <w:rPr>
                <w:sz w:val="24"/>
                <w:vertAlign w:val="superscript"/>
                <w:rtl w:val="0"/>
              </w:rPr>
              <w:t xml:space="preserve">15</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pirmā daļa (43.a) 1-3.punkta minētās dalībvalstu normas ir deklaratīvās, līdz ar to tās tiek pārņemtas ar pašu noteikumu projektu kopumā, nodrošinot, ka 11.prim nodaļu prasībās ir attiecināmas tikai uz iekšējā tirgus ārkārtas situācijas režīmu, ko noteiks Komisija.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pirmā daļas (43.a) 4.punkts netiek pārņemts, jo attiecas uz Komisiju.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trešās daļas (43.c) 3. punkts netiek pārņemts, jo attiecas uz Komisiju.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ceturtā daļas (43.d) 1. - 4. un 7. punkts netiek pārņemts, jo attiecas uz Komisiju, vienlaikus 7.punkts attiecas gan uz Komisiju, gan uz dalībvalstīm un to tirgus uzraudzības iestādēm, kas var ziņot Komisijai, vienlaikus tas nerada jaunus pienākumus ekonomikas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panta 2. apakšpunkta piektā daļas (43.e) 2.punkts netiek pārņemts, jo tas regulē dalībvalstu tirgus uzraudzības iestāžu administratīvo sadarbību un nerada jaunus pienākumus ekonomikas dalībniekiem.</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Akreditētas produktu sertificēšanas institūcijas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https://tapportals.mk.gov.lv/public_participation/f035eb48-866f-4a23-ac80-1acd012ee4a9</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ietvaros komentāri un viedokļi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Akreditētas produktu sertificēšanas institūcijas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26-TA-331</w:t>
    </w:r>
    <w:r>
      <w:br/>
    </w:r>
    <w:r w:rsidR="00000000" w:rsidRPr="00000000" w:rsidDel="00000000">
      <w:rPr>
        <w:rtl w:val="0"/>
      </w:rPr>
      <w:t xml:space="preserve">Izdrukāts 29.07.2026. 23.25 - 4.0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26-TA-331</w:t>
    </w:r>
    <w:r>
      <w:br/>
    </w:r>
    <w:r w:rsidR="00000000" w:rsidRPr="00000000" w:rsidDel="00000000">
      <w:rPr>
        <w:rtl w:val="0"/>
      </w:rPr>
      <w:t xml:space="preserve">Izdrukāts 29.07.2026. 23.25 - 4.0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anotācija_(ex_ante)_26-TA-331.docx</dc:title>
</cp:coreProperties>
</file>

<file path=docProps/custom.xml><?xml version="1.0" encoding="utf-8"?>
<Properties xmlns="http://schemas.openxmlformats.org/officeDocument/2006/custom-properties" xmlns:vt="http://schemas.openxmlformats.org/officeDocument/2006/docPropsVTypes"/>
</file>