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Pievienotās vērtības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direktīvas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Pievienotās vērtības nodokļa likumā (turpmāk - Likumprojekts) tiek pārņemtas prasības, kas noteiktas Padomes Direktīvas (ES) 2020/284 (2020.gada 18.februāris) ar ko groza Direktīvu 2006/112/EK attiecībā uz konkrētu prasību ieviešanu maksājumu pakalpojumu sniedzējiem (turpmāk – Direktīva 2020/284) un ieviestas prasības, kas noteiktas Eiropas Komisijas  Īstenošanas Regulā (ES) 2022/1504 (2022. gada 6.aprīlis) ar ko paredz sīki izstrādātus noteikumus par to, kā Padomes Regulu (ES) Nr. 904/2010 piemērot attiecībā uz centralizētās elektroniskās maksājumu informācijas sistēmas (CESOP) izveidi, lai apkarotu ar pievienotās vērtības nodokli (turpmāk - PVN) saistītu krāpšanu (turpmāk - Regula 2022/1504).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noteiktu pienākumu maksājumu pakalpojumu sniedzējiem veikt uzskaiti, saglabāt un, pie noteiktu kritēriju izpildes, sniegt informāciju Valsts ieņēmumu dienestam (turpmāk-VID) par pārrobežu maksājumu pakalpojumiem ar mērķi apkarot pārrobežu krāpšanu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informācijas apmaiņa ar citām dalībvalstīm ļaus analizēt datus par pārrobežu darījumiem, atklāt un kontrolēt krāpnieciskus uzņēmumus un apkarot pārrobežu krāpšanu PVN jomā e-komercijā, tādējādi mazinot PVN zaudējumus dalībvalstīs un nodrošinot vienlīdzīgu konkurenci.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2020/284 nosacījumiem jāstājas spēkā 2024.gada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E-komercijas pieaugums atvieglo preču un pakalpojumu pārrobežu pārdošanu galapatērētājiem dalībvalstīs. Šajā kontekstā pārrobežu e-komercija nozīmē tādas preču piegādes vai pakalpojumu sniegšanu, par ko PVN ir maksājams vienā dalībvalstī, savukārt preču piegādātājs vai pakalpojumu sniedzējs veic uzņēmējdarbību citā dalībvalstī, trešā teritorijā vai trešā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2015.gada 1.janvāra ES darbojas īpašais režīms “mini vienas pieturas punkts” (angļu valodā- </w:t>
      </w:r>
      <w:r w:rsidR="00000000" w:rsidRPr="00000000" w:rsidDel="00000000">
        <w:rPr>
          <w:i w:val="1"/>
          <w:rtl w:val="0"/>
        </w:rPr>
        <w:t xml:space="preserve">Mini One Stop Shop</w:t>
      </w:r>
      <w:r w:rsidR="00000000" w:rsidRPr="00000000" w:rsidDel="00000000">
        <w:rPr>
          <w:rtl w:val="0"/>
        </w:rPr>
        <w:t xml:space="preserve">; turpmāk – MOSS) attiecībā uz elektronisko sakaru, apraides un elektroniski sniegto pakalpojumu sniegšanu. Atbilstoši MOSS režīmam, pakalpojumu sniedzējs dalībvalstī, kurā tas ir reģistrēts kā elektronisko sakaru, apraides un elektroniski sniegto pakalpojumu sniedzējs ES, izmanto tīmekļa portālu, lai iesniegtu PVN deklarāciju par PVN, kas maksājams par citās dalībvalstīs sniegtajiem elektronisko sakaru, apraides un elektroniski sniegtajiem pakalpojumiem personai, kura nav PVN maksātājs. Savukārt iesniegtās PVN deklarācijas reģistrācijas dalībvalsts nosūta attiecīgajām patēriņa dalībvalstīm un pārskaita tām nomaksāto PVN, izmantojot drošu komunikāciju tīklu. Izmantojot MOSS, PVN maksātājiem nav jāreģistrējas klasiskajā PVN maksāšanas nolūkā katrā elektronisko sakaru, apraides un elektroniski sniegto pakalpojumu patēriņa dalībvalstī. </w:t>
      </w:r>
      <w:r w:rsidR="00000000" w:rsidRPr="00000000" w:rsidDel="00000000">
        <w:rPr>
          <w:b w:val="1"/>
          <w:rtl w:val="0"/>
        </w:rPr>
        <w:t xml:space="preserve">Ar 2021.gada 1.jūliju MOSS tika paplašināts attiecībā uz preču tiešsaistes tirdzniecību B2C </w:t>
      </w:r>
      <w:r w:rsidR="00000000" w:rsidRPr="00000000" w:rsidDel="00000000">
        <w:rPr>
          <w:rtl w:val="0"/>
        </w:rPr>
        <w:t xml:space="preserve">(angļu valodā - </w:t>
      </w:r>
      <w:r w:rsidR="00000000" w:rsidRPr="00000000" w:rsidDel="00000000">
        <w:rPr>
          <w:i w:val="1"/>
          <w:rtl w:val="0"/>
        </w:rPr>
        <w:t xml:space="preserve">Business to Consumer</w:t>
      </w:r>
      <w:r w:rsidR="00000000" w:rsidRPr="00000000" w:rsidDel="00000000">
        <w:rPr>
          <w:rtl w:val="0"/>
        </w:rPr>
        <w:t xml:space="preserve">; turpmāk B2C)</w:t>
      </w:r>
      <w:r w:rsidR="00000000" w:rsidRPr="00000000" w:rsidDel="00000000">
        <w:rPr>
          <w:b w:val="1"/>
          <w:rtl w:val="0"/>
        </w:rPr>
        <w:t xml:space="preserve"> darījumos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tiešsaistes pirkumu, ko ES veic patērētāji, maksājumi tiek veikti ar maksājumu pakalpojumu sniedzēju starpniecību. Lai sniegtu maksājumu pakalpojumus, maksājumu pakalpojumu sniedzēja rīcībā ir specifiska informācija konkrētā maksājuma adresāta jeb maksājuma saņēmēja identificēšanai un dati par maksājuma datumu, summu un izcelsmes dalībvalsti. Minētā specifiskā informācija ir jo īpaši svarīga saistībā ar tādiem pārrobežu maksājumiem, kuriem maksātājs atrodas vienā dalībvalstī un maksājuma saņēmējs atrodas citā dalībvalstī, trešā teritorijā vai trešā valstī. Šāda informācija ir vajadzīga, lai dalībvalstu nodokļu iestādes veiktu savus pamatuzdevumus – atklātu krāpnieciskus uzņēmumus un uzraudzītu PVN saistību izpildi. Tādēļ ir nepieciešams, lai maksājumu pakalpojumu sniedzēji minēto informāciju darītu pieejamu nodokļu iestādēm nolūkā palīdzēt tām konstatēt un apkarot ar PVN saistītu pārrobežu krāpšanu.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Krāpnieciski uzņēmumi izmanto e-komercijas iespējas, lai gūtu negodīgas tirgus priekšrocības, nepildot savus PVN pienākumus, kā piemēram izvairoties no nodokļa nomaksas, darījumu nedeklarēšana u.c. PVN zaudējumi, ko rada preču piegāde ES mērogā starp uzņēmumiem (B2B – </w:t>
      </w:r>
      <w:r w:rsidR="00000000" w:rsidRPr="00000000" w:rsidDel="00000000">
        <w:rPr>
          <w:i w:val="1"/>
          <w:rtl w:val="0"/>
        </w:rPr>
        <w:t xml:space="preserve">Business to Business</w:t>
      </w:r>
      <w:r w:rsidR="00000000" w:rsidRPr="00000000" w:rsidDel="00000000">
        <w:rPr>
          <w:rtl w:val="0"/>
        </w:rPr>
        <w:t xml:space="preserve">, turpmāk- B2B) un B2C, 2019.gadā tika lēsti aptuveni 5 mljrd. </w:t>
      </w:r>
      <w:r w:rsidR="00000000" w:rsidRPr="00000000" w:rsidDel="00000000">
        <w:rPr>
          <w:i w:val="1"/>
          <w:rtl w:val="0"/>
        </w:rPr>
        <w:t xml:space="preserve">euro</w:t>
      </w:r>
      <w:r w:rsidR="00000000" w:rsidRPr="00000000" w:rsidDel="00000000">
        <w:rPr>
          <w:rtl w:val="0"/>
        </w:rPr>
        <w:t xml:space="preserve"> gadā. Nav pieejamas ES mēroga aplēses par krāpšanu saistībā ar PVN pārrobežu B2C pakalpojumu sniegšanas jomā, bet tikai nozares dokumentēti pierādījumi par apraidi un tiešsaistes spēlēm. Līdz ar e-komercijas pieaugumu, problēma tikai palielināsies. Tā kā nodokļu administrāciju rīcībā nav informācijas, kas vajadzīga, lai nodrošinātu, ka PVN noteikumi par pārrobežu e-komerciju tiek piemēroti pareizi, kā arī, lai apkarotu ar PVN saistītu krāpšanu pārrobežu e-komercijā, ir nepieciešams ieviest regulējumu, lai nodokļu administrācijas rīcībā būtu informācija, lai atklātu krāpnieciskus uzņēmumus un uzraudzītu PVN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ES Padome 2020.gada 18.februārī pieņēma Direktīvu 2020/284, kuras ietvaros ir noteikts pienākums maksājumu pakalpojumu sniedzējiem veikt pietiekami detalizētu maksājumu saņēmēju un maksājumu uzskaiti attiecībā uz maksājumu pakalpojumiem, ko tie sniedz, lai dalībvalstu kompetentās iestādes varētu veikt tādu preču piegāžu un pakalpojumu sniegšanas kontroli nolūkā sasniegt mērķi – apkarot ar PVN saistītu krāpšanu.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maksājumu pakalpojumu sniedzējiem ir jāglabā, dalībvalstīm ir jāapkopo un tās apmaiņa jāveic, ir noteikta saskaņā ar ES Padomes 2010.gada 7.oktobra Regulu (ES) Nr. 904/2010 par administratīvu sadarbību un krāpšanas apkarošanu pievienotās vērtības nodokļa jomā. Sākot ar 2024.gada 1.janvāri, kad stāsies spēkā Direktīvas 2020/284 prasības, maksājumu pakalpojumu sniedzējiem, kas veic uzņēmējdarbību vai sniedz maksājumu pakalpojumus ES, ir jāuzglabā noteikta informācija par pārrobežu maksājumiem, ko veikuši maksātāji dalībvalstīs, un noteikta informācija par maksājumu saņēmējiem, un jānosūta šī informācija nodokļu administrācijai. Saskaņā ar ES Padomes 2020.gada 18.februāra Regulu (ES) 2020/283 ar ko groza Regulu (ES) Nr. 904/2010 attiecībā uz pasākumiem administratīvās sadarbības stiprināšanai, lai apkarotu ar PVN saistītu krāpšanu (turpmāk – Regula 2020/283), dalībvalstu nodokļu administrācijām minētā informācija jānosūta uz centralizēto elektronisko maksājumu informācijas sistēmu (angļu valodā - </w:t>
      </w:r>
      <w:r w:rsidR="00000000" w:rsidRPr="00000000" w:rsidDel="00000000">
        <w:rPr>
          <w:i w:val="1"/>
          <w:rtl w:val="0"/>
        </w:rPr>
        <w:t xml:space="preserve">Central Electronic System of Payment information</w:t>
      </w:r>
      <w:r w:rsidR="00000000" w:rsidRPr="00000000" w:rsidDel="00000000">
        <w:rPr>
          <w:rtl w:val="0"/>
        </w:rPr>
        <w:t xml:space="preserve">, turpmāk - CESOP), kuru pārvalda un tehniski uztur Eiropas Komisija (turpmāk –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Pievienotās vērtības nodokļa likuma (turpmāk – Likums) darbības jomas tvērumā nav pienākumu maksājumu pakalpojumu sniedzējiem sniegt informāciju, kura ir noteikta Direktīvā 2020/284, ar Likumprojektu plānots paplašināt Likuma darbības jomu, nosakot, ka Likuma darbības jomas tvērumā ir arī pienākumi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plānots papildināt Likumu ar jaunu nodaļu, kurā tiks noteikts pienākums maksājumu pakalpojumu sniedzējiem sniegt informāciju par pārrobežu maksājumu pakalpojumiem PVN krāpniecības mazināšanas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 kategorijas ir noteiktas Eiropas Parlamenta un Padomes 2015.gada 25.novembra Direktīvā (ES) 2015/2366 par maksājumu pakalpojumiem iekšējā tirgū, ar ko groza Direktīvas 2002/65/EK, 2009/110/EK un 2013/36/ES un Regulu (ES) Nr. 1093/2010 un atceļ Direktīvu 2007/64/EK, kuras regulējums ir pārņemts Maksājumu pakalpojumu un elektroniskās naudas likumā. Subjektu loks uz kuriem attieksies  pienākums sniegt informāciju, atbilstoši Direktīvai 2020/284, ir noteikts Maksājumu pakalpojumu un elektroniskās naudas likuma 2.panta otrās daļas 1. ,2., 4., 7. un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Likumā nav skaidrots termins, kas ir maksājuma pakalpojuma sniedzējs un to nepieciešams skaidrot tikai attiecībā uz Likuma nodaļu, tad termina skaidrojums ir iekļauts Likumprojekta 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atsevišķu Latvijas finanšu institūciju atbilstību maksājumu pakalpojumu sniedzēju definīcijas tvērumam, secināts, ka Direktīvas 2020/284 prasības nacionālā līmenī nav attiecināmas uz Latvijas Banku un Valsts kasi, jo atbilstoši Maksājumu pakalpojumu un elektroniskās naudas likumam, Latvijas Banka un Valsts kase nav maksājumu pakalpojumu sniedzēji, jo tām nav piešķirta autorizācija kā licencētam vai reģistrētam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noteikts deleģējums Ministru kabinetam noteikt nosacījumus, kuriem iestājoties ir sniedzama informācija VID par pārrobežu maksājumu pakalpojumiem, kārtību, kādā minētā informācija tiek uzglabāta un sniegta VID, sniedzamās informācijas struktūru un saturu, kārtību, kādā aprēķina pārrobežu maksājumu skaitu, veic to uzskaiti un tajā ietvertās informācijas saturu, kā arī lietoto terminu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arī kārtību, kādā maksājumu pakalpojumu sniedzējs sniedz informāciju VID par maksājumu pakalpojumu saņēmējiem, kuras pamatprincipi un tehniskie risinājumi ir nostiprināti Regulā (ES) 2022/1504.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ir nepieciešams veikt grozījumus arī Kredītiestāžu likumā, Krājaizdevu sabiedrību likumā un Maksājumu pakalpojumu un elektroniskās naudas likumā, lai noteiktu, ka informācija par pārrobežu maksājumu pakalpojumiem ir izpaužama VID arī PVN krāpniecības mazināšanas mērķiem, kā arī lai noteiktu kārtību, kādā maksājumu pakalpojumu sniedzēji šo informāciju sniedz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efektīvu darbību par nepieciešamās informācijas sniegšanu VID par pārrobežu darījumiem, Likumprojektā ir paredzēta atbildība par regulējuma pārkāpumiem. Arī EK 2022.gada 4.augustā pieņemtajās vadlīnijas par maksājumu datu ziņošanu no maksājumu pakalpojumu sniedzējiem un pārsūtīšanu uz CESOP</w:t>
      </w:r>
      <w:r w:rsidR="00000000" w:rsidRPr="00000000" w:rsidDel="00000000">
        <w:rPr>
          <w:vertAlign w:val="superscript"/>
          <w:rtl w:val="0"/>
        </w:rPr>
        <w:t xml:space="preserve">1</w:t>
      </w:r>
      <w:r w:rsidR="00000000" w:rsidRPr="00000000" w:rsidDel="00000000">
        <w:rPr>
          <w:rtl w:val="0"/>
        </w:rPr>
        <w:t xml:space="preserve"> ir norādīts, ka katrai dalībvalstij būtu jāpieņem tiesību akti, kas pieļauj sankcijas maksājumu pakalpojumu sniedzējiem, kuri noteiktajā termiņā neiesniedz vai atkārtoti neiesniedz maksājumu datus, kā arī par novēlotu datu iesniegšanu vai tādu datu iesniegšanu, kas neatbilst Direktīvā 2020/284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Guidelines for the reporting of payment data from payment service providers and transmission to the Central Electronic System of Payment information (CESOP) (Brussels, 4 August 2022, TAXUD.C.4(2022)6081833)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paredzēta atbildība par regulējuma pārkāpumiem. Likumprojekta 2.pants paredz papildināt Likuma 146.pantu ar jaunu vienpadsmito daļu, ar kuru tiek paredzētas tiesības VID noteikt soda naudu maksājumu pakalpojuma sniedzējam, ja maksājumu pakalpojumu sniedzējs normatīvajos aktos noteiktā kārtībā un termiņā nav sniedzis informāciju VID. Likumprojektā noteiktais soda naudas apmērs ir līdz 14 000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par automātisko informācijas apmaiņu par maksājumu pakalpojumu sniedzēju sniegto informāciju efektīvu darbību, Likumprojektā ir paredzēta atbildība par regulējuma pārkāpumiem. Atbildība tiek noteikta pēc līdzības ar likuma “Par nodokļiem un nodevām” 32.</w:t>
      </w:r>
      <w:r w:rsidR="00000000" w:rsidRPr="00000000" w:rsidDel="00000000">
        <w:rPr>
          <w:vertAlign w:val="superscript"/>
          <w:rtl w:val="0"/>
        </w:rPr>
        <w:t xml:space="preserve">5</w:t>
      </w:r>
      <w:r w:rsidR="00000000" w:rsidRPr="00000000" w:rsidDel="00000000">
        <w:rPr>
          <w:rtl w:val="0"/>
        </w:rPr>
        <w:t xml:space="preserve"> pantā noteikto, kas paredz atbildību par pārkāpumiem saistībā ar automātisko informācijas apmaiņu par finanšu kontiem, starptautisko uzņēmumu grupu pārskatiem par katru valsti un ziņojamām pārrobežu shēmām. Soda naudas apmērs ir paredzēts līdz 14 000 </w:t>
      </w:r>
      <w:r w:rsidR="00000000" w:rsidRPr="00000000" w:rsidDel="00000000">
        <w:rPr>
          <w:i w:val="1"/>
          <w:rtl w:val="0"/>
        </w:rPr>
        <w:t xml:space="preserve">euro</w:t>
      </w:r>
      <w:r w:rsidR="00000000" w:rsidRPr="00000000" w:rsidDel="00000000">
        <w:rPr>
          <w:rtl w:val="0"/>
        </w:rPr>
        <w:t xml:space="preserve">, kas atbilst maksimālam soda apmēram, kāds šobrīd paredzēts saistībā ar automātisko informācijas apmaiņu par finanšu kontiem. Šāds maksimālais sods izvēlēts, ņemot vērā, ka pārkāpumi un to iespējamās izraisītās sekas pēc būtības ir līdzīgas. Katrā gadījumā VID, nosakot sodu, būs jāizvērtē lietderība un samērīgums, ņemot vērā katru konkrēto situāciju. Maksimālais sods varētu būt noteikts gadījumā, kad, piemēram, nodokļu maksātājs – ziņojošais maksājumu pakalpojumu sniedzējs nesniedz VID informāciju vispār, savukārt gadījumā, kad informācija ir sniegta ar novēlošanos, vai atkārtoti tiek iesniegta kļūdaina informācija, tad parasti būtu nosakāma zemāka soda nauda, ņemot vērā visus lietas apstākļus. Tāpat, nosakot soda naudas apmēru, var tikt ņemts vērā maksājumu pakalpojuma sniedzēja lielums, jo no tā ir atkarīgs gan kaitējuma apmērs, gan tas, vai attiecīgā soda nauda motivēs attiecīgo nodokļu maksātāju nepārkāpt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regulējuma efektīvu īstenošanu ir svarīgi, jo no informācijas saņemšanas fakta un tās kvalitātes ir atkarīga spēja nodrošināt nodokļu normatīvo aktu izpildi </w:t>
      </w:r>
      <w:r w:rsidR="00000000" w:rsidRPr="00000000" w:rsidDel="00000000">
        <w:rPr>
          <w:b w:val="1"/>
          <w:i w:val="1"/>
          <w:rtl w:val="0"/>
        </w:rPr>
        <w:t xml:space="preserve">maksājumu saņēmējiem</w:t>
      </w:r>
      <w:r w:rsidR="00000000" w:rsidRPr="00000000" w:rsidDel="00000000">
        <w:rPr>
          <w:rtl w:val="0"/>
        </w:rPr>
        <w:t xml:space="preserve">, kas saņem pārrobežu maksājumus, izmantojot šo maksājumu pakalpojumu sniedzēja pakalpojumus. Tāpat tas ir svarīgi, lai VID varētu izpildīt pienākumu nodot informāciju citu valstu nodokļu administrācijām par maksājumu saņēmēju ienākumiem, kas gūti no attiecīgas valsts rezidentiem, un var tikt aplikti ar PVN attiecīgajā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atbildība nepieciešama, lai to varētu piemērot par tādu pienākumu neievērošanu, kas ir saistīti ar starptautiskās automātiskās informācijas apmaiņas jomu, atbildības apmērs būtu ar atturošu raksturu, iespēju piemērot konkrētajai situācijai atbilstošu soda apmēru un samērīgs ar augstāk minētajām iespējamām sekām. Tādējādi ir nepieciešams nodrošināt, ka par konkrētu pārkāpumu tiek noteikts atbilstošs sods, kam būtu ne tikai sodoša funkcija, bet arī preventīva, proti, tam būtu jāattur turpmāk persona no pārkāpuma izdarīšanas, kā arī jāattur citas personas no pārkāpumu izdarīšanas, kā arī </w:t>
      </w:r>
      <w:r w:rsidR="00000000" w:rsidRPr="00000000" w:rsidDel="00000000">
        <w:rPr>
          <w:b w:val="1"/>
          <w:i w:val="1"/>
          <w:rtl w:val="0"/>
        </w:rPr>
        <w:t xml:space="preserve">jāaudzina</w:t>
      </w:r>
      <w:r w:rsidR="00000000" w:rsidRPr="00000000" w:rsidDel="00000000">
        <w:rPr>
          <w:rtl w:val="0"/>
        </w:rPr>
        <w:t xml:space="preserve"> likumu ievērošanas un cienīšanas garā.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lēmums par soda naudas uzlikšanu ir uzskatāms par administratīvo aktu Administratīvā procesa likuma 1.panta trešās daļas izpratnē, attiecīgajam nodokļu maksātājam tiks nodrošinātas Administratīvā procesa likumā paredzētās tiesības privātpersonai, attiecībā uz kuru tiek izdots administratīvais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elektroniskās naudas iestādes, maksājumu iestādes, dalībvalstī licencētas iestādes, kas Maksājumu pakalpojumu un elektroniskās naudas likuma 31. pantā noteiktajā kārtībā uzsākušas darbību Latvijā,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sniedzējiem (kredītiestādēm, elektroniskās naudas iestādēm, maksājumu iestādēm, dalībvalstī licencētām iestādēm, kas Maksājumu pakalpojumu un elektroniskās naudas likuma 31. pantā noteiktajā kārtībā uzsākušas darbību Latvijā, krājaizdevu sabiedrībām) būs nepieciešams uzkrāt informāciju par pārrobežu darījumiem, lai iestājoties Likumā noteiktajiem kritērijiem, to nosūtītu VID atbilstoši Ministru kabineta noteikumos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nodokļu administrāciju rīcībā būs papildus informācija, lai atklātu un kontrolētu krāpnieciskus uzņēmumus un apkarotu pārrobežu krāpšanu PVN jomā, ko izraisa dažu uzņēmumu krāpnieciska rīcība pārrobežu e-komercijas jomā, tādējādi tiks nodrošināti vienlīdzīgi konkurences apstākļi uzņēmumiem ES, kuri darbojas likumīgi un kuri cieš no krāpnieku radītas negodīgas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Sakārtota uzņēmējdarbības vide rada pozitīvu ietekmi uz godīgu konkurenci nodokļu jomā.  Tā kā nodokļu administrāciju rīcībā būs papildus informācija, lai atklātu un kontrolētu krāpnieciskus uzņēmumus un apkarotu pārrobežu krāpšanu PVN jomā, ko izraisa dažu uzņēmumu krāpnieciska rīcība pārrobežu e-komercijas jomā, tādējādi tiks nodrošināti vienlīdzīgi konkurences apstākļi uzņēmumiem ES, kuri darbojas likumīgi un kuri cieš no krāpnieku radītas negodīgas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VID informācijas sistēmas pielāgotu CESOP prasībām, VID ir nepieciešams papildu finansējums. Nepieciešams līdz 2023.gada 31.decembrim izstrādāt tehnisko risinājumu datu ieguvei no maksājumu pakalpojumu sniedzējiem, datu validācijai, uzglabāšanai un nodošanai CESOP (EK izveidotā savienojuma izmantošanai) un jāizvērtē/jāizstrādā risinājums no CESOP lejupielādēto datu glabāšanai un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Risinājuma kopējās ieviešanas un uzturēšanas izmaksas ir norādītas zemāk tabulā.</w:t>
            </w:r>
          </w:p>
          <w:tbl>
            <w:tblPr>
              <w:tblStyle w:val="DefaultTable"/>
              <w:bidiVisual w:val="0"/>
              <w:tblW w:w="1311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56"/>
              <w:gridCol w:w="2192"/>
              <w:gridCol w:w="2149"/>
              <w:gridCol w:w="2149"/>
              <w:gridCol w:w="2064"/>
              <w:gridCol w:w="2064"/>
              <w:gridCol w:w="1934"/>
              <w:gridCol w:w="1934"/>
              <w:gridCol w:w="1611"/>
              <w:tblGridChange w:id="0">
                <w:tblGrid>
                  <w:gridCol w:w="2256"/>
                  <w:gridCol w:w="2192"/>
                  <w:gridCol w:w="2149"/>
                  <w:gridCol w:w="2149"/>
                  <w:gridCol w:w="2064"/>
                  <w:gridCol w:w="2064"/>
                  <w:gridCol w:w="1934"/>
                  <w:gridCol w:w="1934"/>
                  <w:gridCol w:w="1611"/>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c/d cena, </w:t>
                  </w:r>
                  <w:r w:rsidR="00000000" w:rsidRPr="00000000" w:rsidDel="00000000">
                    <w:rPr>
                      <w:sz w:val="24"/>
                      <w:i w:val="1"/>
                      <w:rtl w:val="0"/>
                    </w:rPr>
                    <w:t xml:space="preserve">euro</w:t>
                  </w:r>
                  <w:r w:rsidR="00000000" w:rsidRPr="00000000" w:rsidDel="00000000">
                    <w:rPr>
                      <w:sz w:val="24"/>
                      <w:rtl w:val="0"/>
                    </w:rPr>
                    <w:t xml:space="preserve"> ar PVN</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 gadu sākot ar 2025.gadu</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euro</w:t>
                  </w:r>
                  <w:r w:rsidR="00000000" w:rsidRPr="00000000" w:rsidDel="00000000">
                    <w:rPr>
                      <w:sz w:val="24"/>
                      <w:rtl w:val="0"/>
                    </w:rPr>
                    <w:t xml:space="preserve">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euro</w:t>
                  </w:r>
                  <w:r w:rsidR="00000000" w:rsidRPr="00000000" w:rsidDel="00000000">
                    <w:rPr>
                      <w:sz w:val="24"/>
                      <w:rtl w:val="0"/>
                    </w:rPr>
                    <w:t xml:space="preserve">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euro</w:t>
                  </w:r>
                  <w:r w:rsidR="00000000" w:rsidRPr="00000000" w:rsidDel="00000000">
                    <w:rPr>
                      <w:sz w:val="24"/>
                      <w:rtl w:val="0"/>
                    </w:rPr>
                    <w:t xml:space="preserve">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sistēmas (NIS) modulis CESOP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31 5161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sistēmā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sistēmu savietotājs (VIDISS)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70 543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590 252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VIDISS uzturēšanas izmaksas par veikto transakciju skaitu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22 096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22 096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risinājuma uzturēšanai (indikatīvi 7% no izstrādes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83 084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22 096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612 348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105 180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veikšanai VID informācijas sistēmās 2022.gadā tiks nodrošināts Finanšu ministrijas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un turpmākajos gados nepieciešamais finansējums tiks nodrošināts Finanšu ministrijas budžeta programmas 33.00.00 “Valsts ieņēmumu un muitas politikas nodrošināšana” ietvaros atbilstoši Ministru kabineta 2022.gada 11.oktobra sēdes protokollēmuma Nr.52, 5.§ “Informatīvais ziņojums “Par valsts budžeta izdevumu pārskatīšanas rezultātiem un priekšlikumi par šo rezultātu izmantošanu likumprojekta “Par vidēja termiņa budžeta ietvaru 2023., 2024. un 2025.gadam” un likumprojekta “Par valsts budžetu 2023.gadam” izstrādes procesā”” 28.2.punktam.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precīzi noteikt, kādi būs papildus PVN ieņēmumi, jo sistēmas darbības sākums ir 2024.gads, tomēr ilgtermiņā plānots, ka ieņēmumi ievērojami pārsniegs risinājuma kopējās ieviešanas izmaksas. Savukārt VID veikto darbību rezultātā papildus ienākumu iekasēšana var tikt īstenota 2025.gadā.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ES dalībvalstu nodokļu administrāciju rīcībā, izmantojot CESOP, nonāks informācija par pārrobežu darījumiem, kas nodrošinās aprēķināt un iekasēt lielākas PVN summas, kas savukārt ļautu palielināt budžeta ieņēmumus. Tomēr atbilstoši arī Finanšu ministrijas 2019.gada 29.oktobra sākotnējā pozīcijā Nr.1 "Par priekšlikumu Padomes Direktīvai, ar ko groza Direktīvu 2006/112/EK attiecībā uz konkrētu prasību ieviešanu maksājumu pakalpojumu sniedzējiem; Par priekšlikumu Padomes Regulai, ar ko groza Regulu (ES) Nr.904/2010 attiecībā uz pasākumiem administratīvās sadarbības stiprināšanai, lai apkarotu ar PVN saistītu krāpšanu" minētajam, plānots, ka budžeta ieņēmumu pieaugums par papildus iekasēto PVN atsvērs Eiropas Komisijas un nodokļu administrāciju veiktās investīcijas risinājuma īstenošanā. Ieviešot šo sistēmu, ES dalībvalstis kopumā papildus iekasētu PVN līdz pat 1,2 mljrd. </w:t>
      </w:r>
      <w:r w:rsidR="00000000" w:rsidRPr="00000000" w:rsidDel="00000000">
        <w:rPr>
          <w:i w:val="1"/>
          <w:rtl w:val="0"/>
        </w:rPr>
        <w:t xml:space="preserve">euro</w:t>
      </w:r>
      <w:r w:rsidR="00000000" w:rsidRPr="00000000" w:rsidDel="00000000">
        <w:rPr>
          <w:rtl w:val="0"/>
        </w:rPr>
        <w:t xml:space="preserve"> apmērā, kas ievērojami pārsniegtu risinājuma kopējās ieviešanas izmaksas. Rezultātā e – komercijas nozarē samazināsies PVN iztrūkums.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atsevišķi Ministru kabineta noteikumi ar nosacījumiem, kuriem iestājoties būs sniedzama informācija VID par pārrobežu maksājumu pakalpojumiem un pārrobežu maksājumu pakalpojumu saņēmējiem, sniedzamās informācijas struktūra un saturs, lietoto terminu skaidrojums, kārtība, kādā aprēķina pārrobežu maksājumu skaitu, veic to uzskaiti un tajā ietvertās informācijas saturu, kā arī kārtība, kādā minētā informācija tiek uzglabāta un sniegta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Kredītiestāžu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 informācija par pārrobežu maksājumu pakalpojumiem ir izpaužama VID arī PVN krāpniecības mazināšanas mērķiem, kā arī lai noteiktu kārtību, kādā maksājumu pakalpojumu sniedzēji šo informāciju sniedz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Krājaizdevu sabiedrību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 informācija par pārrobežu maksājumu pakalpojumiem ir izpaužama VID arī PVN krāpniecības mazināšanas mērķiem, kā arī lai noteiktu kārtību, kādā maksājumu pakalpojumu sniedzēji šo informāciju sniedz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Maksājumu pakalpojumu un elektroniskās naudas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 informācija par pārrobežu maksājumu pakalpojumiem ir izpaužama VID arī PVN krāpniecības mazināšanas mērķiem, kā arī lai noteiktu kārtību, kādā maksājumu pakalpojumu sniedzēji šo informāciju sniedz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32020L0284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2020.gada 18.februāra direktīva (ES) 2020/284, ar ko groza Direktīvu 2006/112/EK attiecībā uz konkrētu prasību ieviešanu maksājumu pakalpojumu sniedzējiem (Direktīva 2020/284).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ietverto Pievienotās vērtības nodokļa likuma 147.pantu pilnībā tiks pārņemts ar Direktīvu 2020/284 noteiktais pienākums maksājumu pakalpojumu sniedzējiem pie konkrētu kritēriju iestāšanās sniegt informāciju VID, kurš  savukārt nodrošinās minētās informācijas apmaiņu starp ES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32020R0283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2020.gada 18.februāra Regula (ES) 2020/283 ar ko groza Regulu (ES) Nr. 904/2010 attiecībā uz pasākumiem administratīvās sadarbības stiprināšanai, lai apkarotu ar PVN saistītu krāpšanu.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2020/283 uzliek saistības kopumā un ir tieši piemērojama visās dalībvalstīs.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32022R1504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2022.gada 6.aprīļa Īstenošanas Regula (ES) 2022/1504 ar ko paredz sīki izstrādātus noteikumus par to, kā Padomes Regulu (ES) Nr. 904/2010 piemērot attiecībā uz centralizētās elektroniskās maksājumu informācijas sistēmas (CESOP) izveidi, lai apkarotu ar PVN saistītu krāpšanu.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2022/1504 uzliek saistības kopumā un ir tieši piemērojama visās dalībvalstīs.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2020.gada 18.februāra direktīva (ES) 2020/284, ar ko groza Direktīvu 2006/112/EK attiecībā uz konkrētu prasību ieviešanu maksājumu pakalpojumu sniedzējiem (Direktīva 2020/284).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243a. panta 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 (likuma 147.panta 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243a. panta 2. – 10.apakšpunktu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243.b panta 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 (likuma 147.panta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243.b panta 2.punktu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 (likuma 147.panta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243.b panta 3.punktu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243.b panta 4.punktu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243.c panta 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243.c 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243.d panta 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1.pants attiecībā uz 243.d panta 2.punktu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2. 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un 5. pants (likuma pārejas noteikumu 45.punkts un likuma informatīvās atsauces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2020.gada 18.februāra Regula (ES) 2020/283 ar ko groza Regulu (ES) Nr. 904/2010 attiecībā uz pasākumiem administratīvās sadarbības stiprināšanai, lai apkarotu ar PVN saistītu krāpšanu.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 Regulas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 2022.gada 6.aprīļa Īstenošanas Regula (ES) 2022/1504 ar ko paredz sīki izstrādātus noteikumus par to, kā Padomes Regulu (ES) Nr. 904/2010 piemērot attiecībā uz centralizētās elektroniskās maksājumu informācijas sistēmas (CESOP) izveidi, lai apkarotu ar PVN saistītu krāpšanu.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 Regulas prasībām.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jānodrošina informācijas sistēmas izstrāde un uzturēšana, kura būs kanāls starp informācijas saņemšanu no nodokļu maksātājiem un tālāku informācijas iesniegšanu ES centralizētajā datu bāzē.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22-TA-3196</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22-TA-3196</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anotācija_(ex_ante)_22-TA-3196.docx</dc:title>
</cp:coreProperties>
</file>

<file path=docProps/custom.xml><?xml version="1.0" encoding="utf-8"?>
<Properties xmlns="http://schemas.openxmlformats.org/officeDocument/2006/custom-properties" xmlns:vt="http://schemas.openxmlformats.org/officeDocument/2006/docPropsVTypes"/>
</file>